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586" w:rsidRPr="0061241D" w:rsidRDefault="0061241D" w:rsidP="00610586">
      <w:pPr>
        <w:spacing w:line="360" w:lineRule="auto"/>
        <w:jc w:val="center"/>
        <w:rPr>
          <w:b/>
          <w:szCs w:val="28"/>
          <w:lang w:val="en-US"/>
        </w:rPr>
      </w:pPr>
      <w:r>
        <w:rPr>
          <w:b/>
          <w:szCs w:val="28"/>
        </w:rPr>
        <w:t>ЛАБОРАТОРНАЯ РАБОТА</w:t>
      </w:r>
    </w:p>
    <w:p w:rsidR="00610586" w:rsidRPr="00607BA7" w:rsidRDefault="00610586" w:rsidP="00610586">
      <w:pPr>
        <w:spacing w:line="360" w:lineRule="auto"/>
        <w:jc w:val="center"/>
        <w:rPr>
          <w:b/>
          <w:szCs w:val="28"/>
        </w:rPr>
      </w:pPr>
      <w:r w:rsidRPr="00607BA7">
        <w:rPr>
          <w:b/>
          <w:szCs w:val="28"/>
        </w:rPr>
        <w:t>Аппаратные средства и оборудование ЛВС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 w:rsidRPr="00607BA7">
        <w:rPr>
          <w:b/>
          <w:szCs w:val="28"/>
        </w:rPr>
        <w:t>Цель работы:</w:t>
      </w:r>
      <w:r w:rsidRPr="002223A6">
        <w:rPr>
          <w:szCs w:val="28"/>
        </w:rPr>
        <w:t xml:space="preserve"> ознакомиться с основными аппаратными средствами и оборудованием ЛВС. Виды кабелей для сетей (</w:t>
      </w:r>
      <w:proofErr w:type="gramStart"/>
      <w:r w:rsidRPr="002223A6">
        <w:rPr>
          <w:szCs w:val="28"/>
        </w:rPr>
        <w:t>коаксиальный</w:t>
      </w:r>
      <w:proofErr w:type="gramEnd"/>
      <w:r w:rsidRPr="002223A6">
        <w:rPr>
          <w:szCs w:val="28"/>
        </w:rPr>
        <w:t>, неэкранированная витая пара, оптоволокно). Устройства соединения BNC, RJ -45, настенные и модульные розетки, терминаторы</w:t>
      </w:r>
      <w:r w:rsidRPr="00862DDF">
        <w:rPr>
          <w:szCs w:val="28"/>
          <w:vertAlign w:val="superscript"/>
        </w:rPr>
        <w:footnoteReference w:id="1"/>
      </w:r>
      <w:r w:rsidRPr="002223A6">
        <w:rPr>
          <w:szCs w:val="28"/>
        </w:rPr>
        <w:t>.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</w:p>
    <w:p w:rsidR="00610586" w:rsidRPr="00607BA7" w:rsidRDefault="00610586" w:rsidP="00610586">
      <w:pPr>
        <w:spacing w:line="360" w:lineRule="auto"/>
        <w:jc w:val="center"/>
        <w:rPr>
          <w:b/>
          <w:szCs w:val="28"/>
        </w:rPr>
      </w:pPr>
      <w:r w:rsidRPr="00607BA7">
        <w:rPr>
          <w:b/>
          <w:szCs w:val="28"/>
        </w:rPr>
        <w:t>Методические указания к выполнению лабораторной работы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</w:p>
    <w:p w:rsidR="00610586" w:rsidRPr="00712120" w:rsidRDefault="00610586" w:rsidP="00610586">
      <w:pPr>
        <w:spacing w:line="360" w:lineRule="auto"/>
        <w:jc w:val="center"/>
        <w:rPr>
          <w:b/>
          <w:szCs w:val="28"/>
        </w:rPr>
      </w:pPr>
      <w:r w:rsidRPr="00712120">
        <w:rPr>
          <w:b/>
          <w:szCs w:val="28"/>
        </w:rPr>
        <w:t>Коаксиальные кабели</w:t>
      </w:r>
    </w:p>
    <w:p w:rsidR="00610586" w:rsidRDefault="00610586" w:rsidP="00610586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>В начале развития локальных сетей коаксиальный кабель как среда передачи был наиболее распространен</w:t>
      </w:r>
      <w:r>
        <w:rPr>
          <w:szCs w:val="28"/>
        </w:rPr>
        <w:t xml:space="preserve"> </w:t>
      </w:r>
      <w:r w:rsidRPr="002223A6">
        <w:rPr>
          <w:szCs w:val="28"/>
        </w:rPr>
        <w:t>(рис. 55). Он использовался и используется преимущественно в сетях Ethernet</w:t>
      </w:r>
      <w:r>
        <w:rPr>
          <w:szCs w:val="28"/>
        </w:rPr>
        <w:t xml:space="preserve">, значительно реже в </w:t>
      </w:r>
      <w:proofErr w:type="spellStart"/>
      <w:r w:rsidRPr="002223A6">
        <w:rPr>
          <w:szCs w:val="28"/>
        </w:rPr>
        <w:t>ARCnet</w:t>
      </w:r>
      <w:proofErr w:type="spellEnd"/>
      <w:r w:rsidRPr="002223A6">
        <w:rPr>
          <w:szCs w:val="28"/>
        </w:rPr>
        <w:t xml:space="preserve">. Различают "толстый" и "тонкий" кабели. "Толстый Ethernet" используется следующим образом - он прокладывается по периметру помещения или здания, </w:t>
      </w:r>
    </w:p>
    <w:p w:rsidR="00610586" w:rsidRDefault="00610586" w:rsidP="00610586">
      <w:pPr>
        <w:spacing w:line="360" w:lineRule="auto"/>
        <w:ind w:firstLine="708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691505" cy="3006725"/>
            <wp:effectExtent l="19050" t="0" r="4445" b="0"/>
            <wp:docPr id="1" name="Рисунок 2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>Рис. 56. Коаксиальный кабель</w:t>
      </w:r>
    </w:p>
    <w:p w:rsidR="00610586" w:rsidRDefault="00610586" w:rsidP="00610586">
      <w:pPr>
        <w:spacing w:line="360" w:lineRule="auto"/>
        <w:ind w:firstLine="708"/>
        <w:jc w:val="both"/>
        <w:rPr>
          <w:szCs w:val="28"/>
        </w:rPr>
      </w:pPr>
    </w:p>
    <w:p w:rsidR="00610586" w:rsidRPr="002223A6" w:rsidRDefault="00610586" w:rsidP="00610586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>и на его концах устанавливаются 50-омные терминаторы</w:t>
      </w:r>
      <w:r>
        <w:rPr>
          <w:szCs w:val="28"/>
        </w:rPr>
        <w:t xml:space="preserve"> </w:t>
      </w:r>
      <w:r w:rsidRPr="002223A6">
        <w:rPr>
          <w:szCs w:val="28"/>
        </w:rPr>
        <w:t xml:space="preserve">(рис. 56). 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067810" cy="1811020"/>
            <wp:effectExtent l="19050" t="0" r="889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>Рис. 5</w:t>
      </w:r>
      <w:r>
        <w:rPr>
          <w:szCs w:val="28"/>
        </w:rPr>
        <w:t>6</w:t>
      </w:r>
      <w:r w:rsidRPr="002223A6">
        <w:rPr>
          <w:szCs w:val="28"/>
        </w:rPr>
        <w:t>. Терминатор</w:t>
      </w:r>
    </w:p>
    <w:p w:rsidR="00610586" w:rsidRDefault="00610586" w:rsidP="00610586">
      <w:pPr>
        <w:spacing w:line="360" w:lineRule="auto"/>
        <w:jc w:val="both"/>
        <w:rPr>
          <w:szCs w:val="28"/>
        </w:rPr>
      </w:pPr>
    </w:p>
    <w:p w:rsidR="00610586" w:rsidRPr="002223A6" w:rsidRDefault="00610586" w:rsidP="00610586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 xml:space="preserve">Из-за своей толщины и жесткости кабель не может подключаться непосредственно к сетевой плате. Поэтому на кабель в нужных местах устанавливаются </w:t>
      </w:r>
      <w:r>
        <w:rPr>
          <w:szCs w:val="28"/>
        </w:rPr>
        <w:t>«</w:t>
      </w:r>
      <w:r w:rsidRPr="002223A6">
        <w:rPr>
          <w:szCs w:val="28"/>
        </w:rPr>
        <w:t>вампиры</w:t>
      </w:r>
      <w:r>
        <w:rPr>
          <w:szCs w:val="28"/>
        </w:rPr>
        <w:t>»</w:t>
      </w:r>
      <w:r w:rsidRPr="002223A6">
        <w:rPr>
          <w:szCs w:val="28"/>
        </w:rPr>
        <w:t xml:space="preserve"> - специальные устройства, прокалывающие оболочку кабеля и подсоединяющи</w:t>
      </w:r>
      <w:r>
        <w:rPr>
          <w:szCs w:val="28"/>
        </w:rPr>
        <w:t>е</w:t>
      </w:r>
      <w:r w:rsidRPr="002223A6">
        <w:rPr>
          <w:szCs w:val="28"/>
        </w:rPr>
        <w:t xml:space="preserve">ся к его оплетке и центральной жиле. К </w:t>
      </w:r>
      <w:r>
        <w:rPr>
          <w:szCs w:val="28"/>
        </w:rPr>
        <w:t>«</w:t>
      </w:r>
      <w:r w:rsidRPr="002223A6">
        <w:rPr>
          <w:szCs w:val="28"/>
        </w:rPr>
        <w:t>вампиру</w:t>
      </w:r>
      <w:r>
        <w:rPr>
          <w:szCs w:val="28"/>
        </w:rPr>
        <w:t>»</w:t>
      </w:r>
      <w:r w:rsidRPr="002223A6">
        <w:rPr>
          <w:szCs w:val="28"/>
        </w:rPr>
        <w:t>, в свою очередь, подключается трансивер - устройство, согласовывающее сетевую плату и кабель. К трансиверу подключается гибкий кабель с 15-контактными разъемами на обоих концах - вторым концом он подсоединяется к разъему AUI (</w:t>
      </w:r>
      <w:proofErr w:type="spellStart"/>
      <w:r w:rsidRPr="002223A6">
        <w:rPr>
          <w:szCs w:val="28"/>
        </w:rPr>
        <w:t>attachment</w:t>
      </w:r>
      <w:proofErr w:type="spellEnd"/>
      <w:r w:rsidRPr="002223A6">
        <w:rPr>
          <w:szCs w:val="28"/>
        </w:rPr>
        <w:t xml:space="preserve"> </w:t>
      </w:r>
      <w:proofErr w:type="spellStart"/>
      <w:r w:rsidRPr="002223A6">
        <w:rPr>
          <w:szCs w:val="28"/>
        </w:rPr>
        <w:t>unit</w:t>
      </w:r>
      <w:proofErr w:type="spellEnd"/>
      <w:r w:rsidRPr="002223A6">
        <w:rPr>
          <w:szCs w:val="28"/>
        </w:rPr>
        <w:t xml:space="preserve"> </w:t>
      </w:r>
      <w:proofErr w:type="spellStart"/>
      <w:r w:rsidRPr="002223A6">
        <w:rPr>
          <w:szCs w:val="28"/>
        </w:rPr>
        <w:t>interface</w:t>
      </w:r>
      <w:proofErr w:type="spellEnd"/>
      <w:r w:rsidRPr="002223A6">
        <w:rPr>
          <w:szCs w:val="28"/>
        </w:rPr>
        <w:t xml:space="preserve">) на сетевой плате. Допустимая максимальная длина </w:t>
      </w:r>
      <w:r>
        <w:rPr>
          <w:szCs w:val="28"/>
        </w:rPr>
        <w:t>«</w:t>
      </w:r>
      <w:r w:rsidRPr="002223A6">
        <w:rPr>
          <w:szCs w:val="28"/>
        </w:rPr>
        <w:t>толстого</w:t>
      </w:r>
      <w:r>
        <w:rPr>
          <w:szCs w:val="28"/>
        </w:rPr>
        <w:t>»</w:t>
      </w:r>
      <w:r w:rsidRPr="002223A6">
        <w:rPr>
          <w:szCs w:val="28"/>
        </w:rPr>
        <w:t xml:space="preserve"> коаксиального кабеля составляет 500 метров. Соответственно одним таким кабелем можно обслужить гораздо большую площадь, чем </w:t>
      </w:r>
      <w:r>
        <w:rPr>
          <w:szCs w:val="28"/>
        </w:rPr>
        <w:t>«</w:t>
      </w:r>
      <w:r w:rsidRPr="002223A6">
        <w:rPr>
          <w:szCs w:val="28"/>
        </w:rPr>
        <w:t>тонким</w:t>
      </w:r>
      <w:r>
        <w:rPr>
          <w:szCs w:val="28"/>
        </w:rPr>
        <w:t>»</w:t>
      </w:r>
      <w:r w:rsidRPr="002223A6">
        <w:rPr>
          <w:szCs w:val="28"/>
        </w:rPr>
        <w:t xml:space="preserve"> кабелем, максимально допустимая </w:t>
      </w:r>
      <w:proofErr w:type="gramStart"/>
      <w:r w:rsidRPr="002223A6">
        <w:rPr>
          <w:szCs w:val="28"/>
        </w:rPr>
        <w:t>длина</w:t>
      </w:r>
      <w:proofErr w:type="gramEnd"/>
      <w:r w:rsidRPr="002223A6">
        <w:rPr>
          <w:szCs w:val="28"/>
        </w:rPr>
        <w:t xml:space="preserve"> которого составляет 185 метров. </w:t>
      </w:r>
      <w:r>
        <w:rPr>
          <w:szCs w:val="28"/>
        </w:rPr>
        <w:t>«</w:t>
      </w:r>
      <w:proofErr w:type="gramStart"/>
      <w:r w:rsidRPr="002223A6">
        <w:rPr>
          <w:szCs w:val="28"/>
        </w:rPr>
        <w:t>Тонкий</w:t>
      </w:r>
      <w:proofErr w:type="gramEnd"/>
      <w:r w:rsidRPr="002223A6">
        <w:rPr>
          <w:szCs w:val="28"/>
        </w:rPr>
        <w:t xml:space="preserve"> Ethernet</w:t>
      </w:r>
      <w:r>
        <w:rPr>
          <w:szCs w:val="28"/>
        </w:rPr>
        <w:t>»</w:t>
      </w:r>
      <w:r w:rsidRPr="002223A6">
        <w:rPr>
          <w:szCs w:val="28"/>
        </w:rPr>
        <w:t xml:space="preserve"> распространен значительно шире, чем </w:t>
      </w:r>
      <w:r>
        <w:rPr>
          <w:szCs w:val="28"/>
        </w:rPr>
        <w:t>«</w:t>
      </w:r>
      <w:r w:rsidRPr="002223A6">
        <w:rPr>
          <w:szCs w:val="28"/>
        </w:rPr>
        <w:t>толстый</w:t>
      </w:r>
      <w:r>
        <w:rPr>
          <w:szCs w:val="28"/>
        </w:rPr>
        <w:t>».</w:t>
      </w:r>
    </w:p>
    <w:p w:rsidR="00610586" w:rsidRPr="002223A6" w:rsidRDefault="00610586" w:rsidP="00610586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>Принцип использования у него тот же, но благодаря гибкости кабеля он может присоединяться непосредственно к сетевой плате. Для подключения кабеля используются разъемы BNC (</w:t>
      </w:r>
      <w:proofErr w:type="spellStart"/>
      <w:r w:rsidRPr="002223A6">
        <w:rPr>
          <w:szCs w:val="28"/>
        </w:rPr>
        <w:t>bayonet</w:t>
      </w:r>
      <w:proofErr w:type="spellEnd"/>
      <w:r w:rsidRPr="002223A6">
        <w:rPr>
          <w:szCs w:val="28"/>
        </w:rPr>
        <w:t xml:space="preserve"> </w:t>
      </w:r>
      <w:proofErr w:type="spellStart"/>
      <w:r w:rsidRPr="002223A6">
        <w:rPr>
          <w:szCs w:val="28"/>
        </w:rPr>
        <w:t>nut</w:t>
      </w:r>
      <w:proofErr w:type="spellEnd"/>
      <w:r w:rsidRPr="002223A6">
        <w:rPr>
          <w:szCs w:val="28"/>
        </w:rPr>
        <w:t xml:space="preserve"> </w:t>
      </w:r>
      <w:proofErr w:type="spellStart"/>
      <w:r w:rsidRPr="002223A6">
        <w:rPr>
          <w:szCs w:val="28"/>
        </w:rPr>
        <w:t>connector</w:t>
      </w:r>
      <w:proofErr w:type="spellEnd"/>
      <w:r w:rsidRPr="002223A6">
        <w:rPr>
          <w:szCs w:val="28"/>
        </w:rPr>
        <w:t xml:space="preserve">), устанавливаемые собственно на кабель, и </w:t>
      </w:r>
      <w:proofErr w:type="spellStart"/>
      <w:r w:rsidRPr="002223A6">
        <w:rPr>
          <w:szCs w:val="28"/>
        </w:rPr>
        <w:t>T-коннекторы</w:t>
      </w:r>
      <w:proofErr w:type="spellEnd"/>
      <w:r w:rsidRPr="002223A6">
        <w:rPr>
          <w:szCs w:val="28"/>
        </w:rPr>
        <w:t xml:space="preserve">, служащие для отвода сигнала от кабеля в сетевую плату (рис. 57). 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024505" cy="1910715"/>
            <wp:effectExtent l="19050" t="0" r="4445" b="0"/>
            <wp:docPr id="3" name="Рисунок 3" descr="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91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 xml:space="preserve">Рис. 57. </w:t>
      </w:r>
      <w:proofErr w:type="spellStart"/>
      <w:r w:rsidRPr="002223A6">
        <w:rPr>
          <w:szCs w:val="28"/>
        </w:rPr>
        <w:t>Т-коннектор</w:t>
      </w:r>
      <w:proofErr w:type="spellEnd"/>
    </w:p>
    <w:p w:rsidR="00610586" w:rsidRDefault="00610586" w:rsidP="00610586">
      <w:pPr>
        <w:spacing w:line="360" w:lineRule="auto"/>
        <w:jc w:val="both"/>
        <w:rPr>
          <w:szCs w:val="28"/>
        </w:rPr>
      </w:pPr>
    </w:p>
    <w:p w:rsidR="00610586" w:rsidRPr="002223A6" w:rsidRDefault="00610586" w:rsidP="00610586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>Разъемы типа BNC бывают обжимные и разборные (пример разборного разъема - отечественный разъем СР-50-74Ф).</w:t>
      </w:r>
      <w:r>
        <w:rPr>
          <w:szCs w:val="28"/>
        </w:rPr>
        <w:t xml:space="preserve"> </w:t>
      </w:r>
      <w:r w:rsidRPr="002223A6">
        <w:rPr>
          <w:szCs w:val="28"/>
        </w:rPr>
        <w:t>Для монтажа разъема на кабель потребуется либо специальный инструмент для обжимки, либо паяльник и плоскогубцы.</w:t>
      </w:r>
    </w:p>
    <w:p w:rsidR="00610586" w:rsidRPr="002223A6" w:rsidRDefault="00610586" w:rsidP="00610586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>Кабель необходимо подготовить следующим образом: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>1. Аккуратно отрежьте так, чтобы его торец был ровным. Наденьте на кабель металлическую муфту (отрезок трубки), который поставляется в комплекте с BNC-разъемом.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>2. Снимите с кабеля внешнюю пластиковую оболочку на длину 20 мм.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>3. Оплетку аккуратно расплетите и разведите в стороны. Снимите изоляцию с центрального проводника на длину примерно 5 мм.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 xml:space="preserve">4. Установите центральный проводник в штырек, который также поставляется в комплекте с разъемом BNC. Используя специальный инструмент, надежно обожмите штырек, фиксируя в нем проводник, либо впаяйте проводник в штырек. 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>5. Вставьте центральный проводник с установленным на него штырьком в тело разъема до щелчка. Щелчок означает, что штырек установлен на свое место в разъеме и зафиксирован.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>6. Равномерно распределите проводники оплетки по поверхности разъема, если необходимо, обрежьте их до нужной длины. Надвиньте на разъем металлическую муфту.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lastRenderedPageBreak/>
        <w:t>7. Специальным инструментом (или плоскогубцами) аккуратно обожмите муфту до обеспечения надежного контакта оплетки с разъемом. Не обжимайте слишком сильно - можно повредить разъем или пережать изоляцию центрального проводника.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</w:p>
    <w:p w:rsidR="00610586" w:rsidRPr="00C22103" w:rsidRDefault="00610586" w:rsidP="00610586">
      <w:pPr>
        <w:spacing w:line="360" w:lineRule="auto"/>
        <w:jc w:val="center"/>
        <w:rPr>
          <w:b/>
          <w:szCs w:val="28"/>
        </w:rPr>
      </w:pPr>
      <w:r w:rsidRPr="00C22103">
        <w:rPr>
          <w:b/>
          <w:szCs w:val="28"/>
        </w:rPr>
        <w:t>Кабели на основе витой пары</w:t>
      </w:r>
    </w:p>
    <w:p w:rsidR="00610586" w:rsidRPr="002223A6" w:rsidRDefault="00610586" w:rsidP="00610586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 xml:space="preserve">Витая пара (UTP/STP, </w:t>
      </w:r>
      <w:proofErr w:type="spellStart"/>
      <w:r w:rsidRPr="002223A6">
        <w:rPr>
          <w:szCs w:val="28"/>
        </w:rPr>
        <w:t>unshielded</w:t>
      </w:r>
      <w:proofErr w:type="spellEnd"/>
      <w:r w:rsidRPr="002223A6">
        <w:rPr>
          <w:szCs w:val="28"/>
        </w:rPr>
        <w:t>/</w:t>
      </w:r>
      <w:proofErr w:type="spellStart"/>
      <w:r w:rsidRPr="002223A6">
        <w:rPr>
          <w:szCs w:val="28"/>
        </w:rPr>
        <w:t>shielded</w:t>
      </w:r>
      <w:proofErr w:type="spellEnd"/>
      <w:r w:rsidRPr="002223A6">
        <w:rPr>
          <w:szCs w:val="28"/>
        </w:rPr>
        <w:t xml:space="preserve"> </w:t>
      </w:r>
      <w:proofErr w:type="spellStart"/>
      <w:r w:rsidRPr="002223A6">
        <w:rPr>
          <w:szCs w:val="28"/>
        </w:rPr>
        <w:t>twisted</w:t>
      </w:r>
      <w:proofErr w:type="spellEnd"/>
      <w:r w:rsidRPr="002223A6">
        <w:rPr>
          <w:szCs w:val="28"/>
        </w:rPr>
        <w:t xml:space="preserve"> </w:t>
      </w:r>
      <w:proofErr w:type="spellStart"/>
      <w:r w:rsidRPr="002223A6">
        <w:rPr>
          <w:szCs w:val="28"/>
        </w:rPr>
        <w:t>pair</w:t>
      </w:r>
      <w:proofErr w:type="spellEnd"/>
      <w:r w:rsidRPr="002223A6">
        <w:rPr>
          <w:szCs w:val="28"/>
        </w:rPr>
        <w:t xml:space="preserve">) в настоящее время является наиболее распространенной средой передачи сигналов в локальных сетях. Кабели UTP/STP используются в сетях Ethernet, </w:t>
      </w:r>
      <w:proofErr w:type="spellStart"/>
      <w:r w:rsidRPr="002223A6">
        <w:rPr>
          <w:szCs w:val="28"/>
        </w:rPr>
        <w:t>Token</w:t>
      </w:r>
      <w:proofErr w:type="spellEnd"/>
      <w:r w:rsidRPr="002223A6">
        <w:rPr>
          <w:szCs w:val="28"/>
        </w:rPr>
        <w:t xml:space="preserve"> </w:t>
      </w:r>
      <w:proofErr w:type="spellStart"/>
      <w:r w:rsidRPr="002223A6">
        <w:rPr>
          <w:szCs w:val="28"/>
        </w:rPr>
        <w:t>Ring</w:t>
      </w:r>
      <w:proofErr w:type="spellEnd"/>
      <w:r w:rsidRPr="002223A6">
        <w:rPr>
          <w:szCs w:val="28"/>
        </w:rPr>
        <w:t xml:space="preserve"> и </w:t>
      </w:r>
      <w:proofErr w:type="spellStart"/>
      <w:r w:rsidRPr="002223A6">
        <w:rPr>
          <w:szCs w:val="28"/>
        </w:rPr>
        <w:t>ARCnet</w:t>
      </w:r>
      <w:proofErr w:type="spellEnd"/>
      <w:r w:rsidRPr="002223A6">
        <w:rPr>
          <w:szCs w:val="28"/>
        </w:rPr>
        <w:t>. Они различаются по категориям (в зависимости от полосы пропускания) и типу проводников. В кабеле 5-й категории (рис. 58) находится восемь проводников, перевитых попарно (четыре пары).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718685" cy="2403475"/>
            <wp:effectExtent l="19050" t="0" r="5715" b="0"/>
            <wp:docPr id="4" name="Рисунок 22" descr="IMG189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IMG1893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240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>Рис. 58. Кабель UTP (неэкранированная витая пара) 5-й категории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</w:p>
    <w:p w:rsidR="00610586" w:rsidRPr="002223A6" w:rsidRDefault="00610586" w:rsidP="00610586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 xml:space="preserve">Кабельная система, построенная на основе витой пары 5-й категории, имеет очень большую гибкость в использовании. На каждое рабочее место устанавливается не менее двух (рекомендуется три) </w:t>
      </w:r>
      <w:proofErr w:type="spellStart"/>
      <w:r w:rsidRPr="002223A6">
        <w:rPr>
          <w:szCs w:val="28"/>
        </w:rPr>
        <w:t>четырехпарных</w:t>
      </w:r>
      <w:proofErr w:type="spellEnd"/>
      <w:r w:rsidRPr="002223A6">
        <w:rPr>
          <w:szCs w:val="28"/>
        </w:rPr>
        <w:t xml:space="preserve"> розеток RJ-45. Каждая из них отдельным кабелем 5-й категории соединяется с кроссом или </w:t>
      </w:r>
      <w:proofErr w:type="spellStart"/>
      <w:r w:rsidRPr="002223A6">
        <w:rPr>
          <w:szCs w:val="28"/>
        </w:rPr>
        <w:t>патч-панелью</w:t>
      </w:r>
      <w:proofErr w:type="spellEnd"/>
      <w:r w:rsidRPr="002223A6">
        <w:rPr>
          <w:szCs w:val="28"/>
        </w:rPr>
        <w:t xml:space="preserve">, установленной в специальном помещении - серверной. В это помещение заводятся кабели со всех рабочих мест, а также городские телефонные вводы, выделенные линии для подключения к </w:t>
      </w:r>
      <w:r w:rsidRPr="002223A6">
        <w:rPr>
          <w:szCs w:val="28"/>
        </w:rPr>
        <w:lastRenderedPageBreak/>
        <w:t xml:space="preserve">глобальным сетям и т.п. В помещении монтируются серверы, а также офисная АТС, системы сигнализации и прочее коммуникационное оборудование. Благодаря тому, что кабели со всех рабочих мест сведены на общую панель, любую розетку можно использовать как для подключения рабочего места к ЛВС, так и для телефонии (рис. 59). 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722370" cy="212217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>Рис. 59. Розетка на 2 порта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</w:p>
    <w:p w:rsidR="00610586" w:rsidRPr="002223A6" w:rsidRDefault="00610586" w:rsidP="00610586">
      <w:pPr>
        <w:spacing w:line="360" w:lineRule="auto"/>
        <w:ind w:firstLine="708"/>
        <w:jc w:val="both"/>
        <w:rPr>
          <w:szCs w:val="28"/>
        </w:rPr>
      </w:pPr>
      <w:proofErr w:type="spellStart"/>
      <w:r w:rsidRPr="002223A6">
        <w:rPr>
          <w:szCs w:val="28"/>
        </w:rPr>
        <w:t>Патч-панель</w:t>
      </w:r>
      <w:proofErr w:type="spellEnd"/>
      <w:r w:rsidRPr="002223A6">
        <w:rPr>
          <w:szCs w:val="28"/>
        </w:rPr>
        <w:t xml:space="preserve">, или панель соединений, представляет собой группу розеток RJ-45, смонтированных на пластине шириной 19 дюймов. Это стандартный размер для универсальных коммуникационных шкафов - </w:t>
      </w:r>
      <w:proofErr w:type="spellStart"/>
      <w:r w:rsidRPr="002223A6">
        <w:rPr>
          <w:szCs w:val="28"/>
        </w:rPr>
        <w:t>рэков</w:t>
      </w:r>
      <w:proofErr w:type="spellEnd"/>
      <w:r w:rsidRPr="002223A6">
        <w:rPr>
          <w:szCs w:val="28"/>
        </w:rPr>
        <w:t xml:space="preserve"> (</w:t>
      </w:r>
      <w:proofErr w:type="spellStart"/>
      <w:r w:rsidRPr="002223A6">
        <w:rPr>
          <w:szCs w:val="28"/>
        </w:rPr>
        <w:t>rack</w:t>
      </w:r>
      <w:proofErr w:type="spellEnd"/>
      <w:r w:rsidRPr="002223A6">
        <w:rPr>
          <w:szCs w:val="28"/>
        </w:rPr>
        <w:t>), в которых устанавливается оборудование (концентраторы, серверы, источники бесперебойного питания и т.п.). На обратной стороне панели смонтированы соединители, в которые монтируются кабели.</w:t>
      </w:r>
    </w:p>
    <w:p w:rsidR="00610586" w:rsidRPr="002223A6" w:rsidRDefault="00610586" w:rsidP="00610586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 xml:space="preserve">Кабели с многожильными гибкими проводниками используются в качестве </w:t>
      </w:r>
      <w:proofErr w:type="spellStart"/>
      <w:r w:rsidRPr="002223A6">
        <w:rPr>
          <w:szCs w:val="28"/>
        </w:rPr>
        <w:t>патч-кордов</w:t>
      </w:r>
      <w:proofErr w:type="spellEnd"/>
      <w:r w:rsidRPr="002223A6">
        <w:rPr>
          <w:szCs w:val="28"/>
        </w:rPr>
        <w:t>, то есть соединительных кабелей между розеткой и сетевой платой, либо между розетками на панели соединений или кроссе. Кабели с одножильными проводниками - для прокладки собственно кабельной системы. Монтаж разъемов и розеток на эти кабели совершенно идентичен, но обычно кабели с одножильными проводниками монтируются на розетки рабочих мест пользователей, панели соединений и кроссы, а разъемы устанавливают на гибкие соединительные кабели (рис. 60).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216852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 xml:space="preserve">Рис. 60. </w:t>
      </w:r>
      <w:proofErr w:type="spellStart"/>
      <w:r w:rsidRPr="002223A6">
        <w:rPr>
          <w:szCs w:val="28"/>
        </w:rPr>
        <w:t>Патч-панель</w:t>
      </w:r>
      <w:proofErr w:type="spellEnd"/>
    </w:p>
    <w:p w:rsidR="00610586" w:rsidRDefault="00610586" w:rsidP="00610586">
      <w:pPr>
        <w:spacing w:line="360" w:lineRule="auto"/>
        <w:jc w:val="both"/>
        <w:rPr>
          <w:szCs w:val="28"/>
        </w:rPr>
      </w:pPr>
    </w:p>
    <w:p w:rsidR="00610586" w:rsidRPr="002223A6" w:rsidRDefault="00610586" w:rsidP="00610586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>Как правило, применяются следующие виды разъемов: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>- S110 - общее название разъемов для подключения кабеля к универсальному кроссу " 110" или коммутации между вводами на кроссе;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 xml:space="preserve">- RJ-11 и RJ-12 - разъемы с шестью контактами. Первые обычно применяются в телефонии общего назначения. Второй обычно используется в телефонных аппаратах, предназначенных для работы с офисными мини-АТС, а также для подключения кабеля к сетевым платам </w:t>
      </w:r>
      <w:proofErr w:type="spellStart"/>
      <w:r w:rsidRPr="002223A6">
        <w:rPr>
          <w:szCs w:val="28"/>
        </w:rPr>
        <w:t>ARCnet</w:t>
      </w:r>
      <w:proofErr w:type="spellEnd"/>
      <w:r w:rsidRPr="002223A6">
        <w:rPr>
          <w:szCs w:val="28"/>
        </w:rPr>
        <w:t>;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 xml:space="preserve"> - RJ-45 - </w:t>
      </w:r>
      <w:proofErr w:type="spellStart"/>
      <w:r w:rsidRPr="002223A6">
        <w:rPr>
          <w:szCs w:val="28"/>
        </w:rPr>
        <w:t>восьмиконтактный</w:t>
      </w:r>
      <w:proofErr w:type="spellEnd"/>
      <w:r w:rsidRPr="002223A6">
        <w:rPr>
          <w:szCs w:val="28"/>
        </w:rPr>
        <w:t xml:space="preserve"> разъем (рис. 61), использующийся обычно для подключения кабеля к сетевым платам Ethernet либо для коммутации на панели соединений.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062095" cy="2145030"/>
            <wp:effectExtent l="19050" t="0" r="0" b="0"/>
            <wp:docPr id="7" name="Рисунок 23" descr="IMG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IMG18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>Рис. 61. Разъем RJ-45</w:t>
      </w:r>
    </w:p>
    <w:p w:rsidR="00610586" w:rsidRPr="002223A6" w:rsidRDefault="00610586" w:rsidP="00610586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lastRenderedPageBreak/>
        <w:t xml:space="preserve">В зависимости от того, что с чем нужно коммутировать, применяются различные </w:t>
      </w:r>
      <w:proofErr w:type="spellStart"/>
      <w:r w:rsidRPr="002223A6">
        <w:rPr>
          <w:szCs w:val="28"/>
        </w:rPr>
        <w:t>патч-корды</w:t>
      </w:r>
      <w:proofErr w:type="spellEnd"/>
      <w:r w:rsidRPr="002223A6">
        <w:rPr>
          <w:szCs w:val="28"/>
        </w:rPr>
        <w:t>: «45-45» (с каждой стороны по разъему RJ-45), «110- 45» (с одной стороны S110, с другой - RJ-45) или «110-110».</w:t>
      </w:r>
    </w:p>
    <w:p w:rsidR="00610586" w:rsidRPr="002223A6" w:rsidRDefault="00610586" w:rsidP="00610586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 xml:space="preserve">Для монтажа разъемов RJ-11, RJ-12 и RJ-45 используются специальные обжимочные приспособления, различающиеся между собой количеством ножей (6 или 8) и размерами гнезда для фиксации разъема (рис. 62). 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824095" cy="3194685"/>
            <wp:effectExtent l="19050" t="0" r="0" b="0"/>
            <wp:docPr id="8" name="Рисунок 2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31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>Рис. 62. Приспособление для снятия изоляции и обжимки разъема RJ-45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</w:p>
    <w:p w:rsidR="00610586" w:rsidRPr="002223A6" w:rsidRDefault="00610586" w:rsidP="00610586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>Рассмотрим монтаж кабеля 5-й категории на разъем RJ-45.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>1. Аккуратно обрежьте конец кабеля. Торец кабеля должен быть ровным.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>2. Используя специальный инструмент, снимите с кабеля внешнюю изоляцию на длину примерно 30 мм и обрежьте нить, вмонтированную в кабель (нить предназначена для удобства снятия изоляции с кабеля на большую длину). Любые повреждения изоляции проводников абсолютно недопустимы - именно поэтому желательно использовать специальный инструмент, лезвие резака которого выступает ровно на толщину внешней изоляции.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>3.</w:t>
      </w:r>
      <w:r>
        <w:rPr>
          <w:szCs w:val="28"/>
        </w:rPr>
        <w:t xml:space="preserve"> </w:t>
      </w:r>
      <w:r w:rsidRPr="002223A6">
        <w:rPr>
          <w:szCs w:val="28"/>
        </w:rPr>
        <w:t xml:space="preserve">Аккуратно разведите, расплетите и выровняйте проводники. Выровняйте их в один ряд, при этом соблюдая цветовую маркировку. Существует два </w:t>
      </w:r>
      <w:r w:rsidRPr="002223A6">
        <w:rPr>
          <w:szCs w:val="28"/>
        </w:rPr>
        <w:lastRenderedPageBreak/>
        <w:t>наиболее распространенных стандарта по разводке цветов по парам: T568A (</w:t>
      </w:r>
      <w:proofErr w:type="gramStart"/>
      <w:r w:rsidRPr="002223A6">
        <w:rPr>
          <w:szCs w:val="28"/>
        </w:rPr>
        <w:t>рекомендуемый</w:t>
      </w:r>
      <w:proofErr w:type="gramEnd"/>
      <w:r w:rsidRPr="002223A6">
        <w:rPr>
          <w:szCs w:val="28"/>
        </w:rPr>
        <w:t xml:space="preserve"> компанией </w:t>
      </w:r>
      <w:proofErr w:type="spellStart"/>
      <w:r w:rsidRPr="002223A6">
        <w:rPr>
          <w:szCs w:val="28"/>
        </w:rPr>
        <w:t>Siemon</w:t>
      </w:r>
      <w:proofErr w:type="spellEnd"/>
      <w:r w:rsidRPr="002223A6">
        <w:rPr>
          <w:szCs w:val="28"/>
        </w:rPr>
        <w:t>) и T568B (рекомендуемый компанией AT&amp;T и фактически наиболее часто применяемый).</w:t>
      </w:r>
    </w:p>
    <w:p w:rsidR="00610586" w:rsidRPr="002223A6" w:rsidRDefault="00610586" w:rsidP="00610586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>На разъеме RJ-45 цвета проводников располагаются так (рис. 63):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415915" cy="1506220"/>
            <wp:effectExtent l="19050" t="0" r="0" b="0"/>
            <wp:docPr id="9" name="Рисунок 8" descr="http://khpi-iip.mipk.kharkiv.edu/library/net/lab1_img/image01_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khpi-iip.mipk.kharkiv.edu/library/net/lab1_img/image01_08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15" cy="150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>Рис. 63. Порядок расположения проводников в соответствии со стандартами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</w:p>
    <w:p w:rsidR="00610586" w:rsidRPr="002223A6" w:rsidRDefault="00610586" w:rsidP="00610586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>Проводники должны располагаться строго в один ряд. Удерживая их одной рукой, другой ровно обрежьте проводники так, чтобы они выступали над внешней обмоткой на 8-10 мм.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 xml:space="preserve">4. Держа разъем защелкой вниз, вставьте в него кабель. Каждый проводник должен попасть на свое место в разъеме и упереться в ограничитель. 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 xml:space="preserve">5. Вставьте разъем в гнездо на обжимочном приспособлении и обожмите его до упора-ограничителя на приспособлении. В результате фиксатор на разъеме встанет на свое место, удерживая кабель в разъеме </w:t>
      </w:r>
      <w:proofErr w:type="gramStart"/>
      <w:r w:rsidRPr="002223A6">
        <w:rPr>
          <w:szCs w:val="28"/>
        </w:rPr>
        <w:t>неподвижным</w:t>
      </w:r>
      <w:proofErr w:type="gramEnd"/>
      <w:r w:rsidRPr="002223A6">
        <w:rPr>
          <w:szCs w:val="28"/>
        </w:rPr>
        <w:t>. Контактные ножи разъема врежутся каждый в свой проводник, обеспечивая надежный контакт.</w:t>
      </w:r>
    </w:p>
    <w:p w:rsidR="00610586" w:rsidRPr="002223A6" w:rsidRDefault="00610586" w:rsidP="00610586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>Аналогичным образом можно осуществить монтаж разъемов RJ-11 и RJ-12, используя соответствующий инструмент.</w:t>
      </w:r>
    </w:p>
    <w:p w:rsidR="00610586" w:rsidRPr="002223A6" w:rsidRDefault="00610586" w:rsidP="00610586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>Для монтажа разъема S110 специального обжимочного инструмента не требуется. Сам разъем поставляется в разобранном виде, в отличие от разъемов типа RJ разъем S110 допускает многократную разборку и сборку.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</w:p>
    <w:p w:rsidR="00610586" w:rsidRPr="00E26ED3" w:rsidRDefault="00610586" w:rsidP="00610586">
      <w:pPr>
        <w:spacing w:line="360" w:lineRule="auto"/>
        <w:jc w:val="center"/>
        <w:rPr>
          <w:b/>
          <w:szCs w:val="28"/>
        </w:rPr>
      </w:pPr>
      <w:r w:rsidRPr="00E26ED3">
        <w:rPr>
          <w:b/>
          <w:szCs w:val="28"/>
        </w:rPr>
        <w:t>Оптоволоконный кабель</w:t>
      </w:r>
    </w:p>
    <w:p w:rsidR="00610586" w:rsidRPr="002223A6" w:rsidRDefault="00610586" w:rsidP="00610586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lastRenderedPageBreak/>
        <w:t>Оптоволоконные кабели - наиболее перспективная и обеспечивающая наибольшее быстродействие среда распространения сигналов для локальных сетей и телефонии (рис. 64). В локальных сетях оптоволоконные кабели используются для работы по протоколам ATM и FDDI</w:t>
      </w:r>
      <w:r w:rsidRPr="009B25AA">
        <w:rPr>
          <w:szCs w:val="28"/>
          <w:vertAlign w:val="superscript"/>
        </w:rPr>
        <w:footnoteReference w:id="2"/>
      </w:r>
      <w:r w:rsidRPr="002223A6">
        <w:rPr>
          <w:szCs w:val="28"/>
        </w:rPr>
        <w:t>.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 xml:space="preserve">Оптоволокно передает сигналы при помощи импульсов светового излучения. В качестве источников света используются полупроводниковые лазеры или светодиоды. 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691505" cy="2115820"/>
            <wp:effectExtent l="19050" t="0" r="4445" b="0"/>
            <wp:docPr id="10" name="Рисунок 0" descr="IMG19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IMG1902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4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>Рис. 64. Оптоволоконный кабель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</w:p>
    <w:p w:rsidR="00610586" w:rsidRPr="002223A6" w:rsidRDefault="00610586" w:rsidP="00610586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>Оптоволокно подразделяется на одн</w:t>
      </w:r>
      <w:proofErr w:type="gramStart"/>
      <w:r w:rsidRPr="002223A6">
        <w:rPr>
          <w:szCs w:val="28"/>
        </w:rPr>
        <w:t>о-</w:t>
      </w:r>
      <w:proofErr w:type="gramEnd"/>
      <w:r w:rsidRPr="002223A6">
        <w:rPr>
          <w:szCs w:val="28"/>
        </w:rPr>
        <w:t xml:space="preserve"> и </w:t>
      </w:r>
      <w:proofErr w:type="spellStart"/>
      <w:r w:rsidRPr="002223A6">
        <w:rPr>
          <w:szCs w:val="28"/>
        </w:rPr>
        <w:t>многомодовое</w:t>
      </w:r>
      <w:proofErr w:type="spellEnd"/>
      <w:r w:rsidRPr="002223A6">
        <w:rPr>
          <w:szCs w:val="28"/>
        </w:rPr>
        <w:t xml:space="preserve">. </w:t>
      </w:r>
      <w:proofErr w:type="spellStart"/>
      <w:r w:rsidRPr="002223A6">
        <w:rPr>
          <w:szCs w:val="28"/>
        </w:rPr>
        <w:t>Одномодовое</w:t>
      </w:r>
      <w:proofErr w:type="spellEnd"/>
      <w:r w:rsidRPr="002223A6">
        <w:rPr>
          <w:szCs w:val="28"/>
        </w:rPr>
        <w:t xml:space="preserve"> волокно очень тонкое, его диаметр составляет порядка 10 микрон. Световой импульс, проходя по волокну, реже отражается от его внутренней поверхности, что обеспечивает меньшее затухание, соответственно </w:t>
      </w:r>
      <w:proofErr w:type="spellStart"/>
      <w:r w:rsidRPr="002223A6">
        <w:rPr>
          <w:szCs w:val="28"/>
        </w:rPr>
        <w:t>одномодовое</w:t>
      </w:r>
      <w:proofErr w:type="spellEnd"/>
      <w:r w:rsidRPr="002223A6">
        <w:rPr>
          <w:szCs w:val="28"/>
        </w:rPr>
        <w:t xml:space="preserve"> волокно обеспечивает большую дальность без применения повторителей. Теоретическая пропускная способность </w:t>
      </w:r>
      <w:proofErr w:type="spellStart"/>
      <w:r w:rsidRPr="002223A6">
        <w:rPr>
          <w:szCs w:val="28"/>
        </w:rPr>
        <w:t>одномодового</w:t>
      </w:r>
      <w:proofErr w:type="spellEnd"/>
      <w:r w:rsidRPr="002223A6">
        <w:rPr>
          <w:szCs w:val="28"/>
        </w:rPr>
        <w:t xml:space="preserve"> волокна составляет 10</w:t>
      </w:r>
      <w:r>
        <w:rPr>
          <w:szCs w:val="28"/>
        </w:rPr>
        <w:t>0</w:t>
      </w:r>
      <w:r w:rsidRPr="002223A6">
        <w:rPr>
          <w:szCs w:val="28"/>
        </w:rPr>
        <w:t xml:space="preserve"> Гбит/</w:t>
      </w:r>
      <w:proofErr w:type="gramStart"/>
      <w:r w:rsidRPr="002223A6">
        <w:rPr>
          <w:szCs w:val="28"/>
        </w:rPr>
        <w:t>с</w:t>
      </w:r>
      <w:proofErr w:type="gramEnd"/>
      <w:r>
        <w:rPr>
          <w:szCs w:val="28"/>
        </w:rPr>
        <w:t xml:space="preserve"> и более</w:t>
      </w:r>
      <w:r w:rsidRPr="002223A6">
        <w:rPr>
          <w:szCs w:val="28"/>
        </w:rPr>
        <w:t xml:space="preserve">. Его основные недостатки </w:t>
      </w:r>
      <w:r>
        <w:rPr>
          <w:szCs w:val="28"/>
        </w:rPr>
        <w:t>–</w:t>
      </w:r>
      <w:r w:rsidRPr="002223A6">
        <w:rPr>
          <w:szCs w:val="28"/>
        </w:rPr>
        <w:t xml:space="preserve"> </w:t>
      </w:r>
      <w:r>
        <w:rPr>
          <w:szCs w:val="28"/>
        </w:rPr>
        <w:t xml:space="preserve">относительно </w:t>
      </w:r>
      <w:r w:rsidRPr="002223A6">
        <w:rPr>
          <w:szCs w:val="28"/>
        </w:rPr>
        <w:t>высокие стоимость и сложность монтажа.</w:t>
      </w:r>
    </w:p>
    <w:p w:rsidR="00610586" w:rsidRPr="002223A6" w:rsidRDefault="00610586" w:rsidP="00610586">
      <w:pPr>
        <w:spacing w:line="360" w:lineRule="auto"/>
        <w:ind w:firstLine="708"/>
        <w:jc w:val="both"/>
        <w:rPr>
          <w:szCs w:val="28"/>
        </w:rPr>
      </w:pPr>
      <w:proofErr w:type="spellStart"/>
      <w:r w:rsidRPr="002223A6">
        <w:rPr>
          <w:szCs w:val="28"/>
        </w:rPr>
        <w:t>Многомодовое</w:t>
      </w:r>
      <w:proofErr w:type="spellEnd"/>
      <w:r w:rsidRPr="002223A6">
        <w:rPr>
          <w:szCs w:val="28"/>
        </w:rPr>
        <w:t xml:space="preserve"> волокно имеет больший диаметр - 50 или 62,5 микрона. Этот тип оптоволокна</w:t>
      </w:r>
      <w:r>
        <w:rPr>
          <w:szCs w:val="28"/>
        </w:rPr>
        <w:t>, в настоящее время,</w:t>
      </w:r>
      <w:r w:rsidRPr="002223A6">
        <w:rPr>
          <w:szCs w:val="28"/>
        </w:rPr>
        <w:t xml:space="preserve"> чаще всего применяется в компьютерных сетях. Для соединения оптического кабеля с активным </w:t>
      </w:r>
      <w:r w:rsidRPr="002223A6">
        <w:rPr>
          <w:szCs w:val="28"/>
        </w:rPr>
        <w:lastRenderedPageBreak/>
        <w:t xml:space="preserve">оборудованием применяются специальные разъемы. Наиболее распространены разъемы типа SC и ST (рис. 65). 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444115" cy="2115820"/>
            <wp:effectExtent l="19050" t="0" r="0" b="0"/>
            <wp:docPr id="11" name="Рисунок 11" descr="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2884170" cy="1969770"/>
            <wp:effectExtent l="19050" t="0" r="0" b="0"/>
            <wp:docPr id="12" name="Рисунок 12" descr="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>Рис. 65.  Разъемы для подключения оптоволоконного кабеля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</w:p>
    <w:p w:rsidR="00610586" w:rsidRPr="002223A6" w:rsidRDefault="00610586" w:rsidP="00610586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 xml:space="preserve">Монтаж </w:t>
      </w:r>
      <w:r>
        <w:rPr>
          <w:szCs w:val="28"/>
        </w:rPr>
        <w:t>разъемов</w:t>
      </w:r>
      <w:r w:rsidRPr="002223A6">
        <w:rPr>
          <w:szCs w:val="28"/>
        </w:rPr>
        <w:t xml:space="preserve"> на оптоволоконный кабель</w:t>
      </w:r>
      <w:r>
        <w:rPr>
          <w:szCs w:val="28"/>
        </w:rPr>
        <w:t xml:space="preserve"> и его сварка</w:t>
      </w:r>
      <w:r w:rsidRPr="002223A6">
        <w:rPr>
          <w:szCs w:val="28"/>
        </w:rPr>
        <w:t xml:space="preserve"> - очень ответственн</w:t>
      </w:r>
      <w:r>
        <w:rPr>
          <w:szCs w:val="28"/>
        </w:rPr>
        <w:t>ые</w:t>
      </w:r>
      <w:r w:rsidRPr="002223A6">
        <w:rPr>
          <w:szCs w:val="28"/>
        </w:rPr>
        <w:t xml:space="preserve"> операци</w:t>
      </w:r>
      <w:r>
        <w:rPr>
          <w:szCs w:val="28"/>
        </w:rPr>
        <w:t>и</w:t>
      </w:r>
      <w:r w:rsidRPr="002223A6">
        <w:rPr>
          <w:szCs w:val="28"/>
        </w:rPr>
        <w:t>, требующ</w:t>
      </w:r>
      <w:r>
        <w:rPr>
          <w:szCs w:val="28"/>
        </w:rPr>
        <w:t>ие специального оборудования,</w:t>
      </w:r>
      <w:r w:rsidRPr="002223A6">
        <w:rPr>
          <w:szCs w:val="28"/>
        </w:rPr>
        <w:t xml:space="preserve"> опыта и </w:t>
      </w:r>
      <w:r>
        <w:rPr>
          <w:szCs w:val="28"/>
        </w:rPr>
        <w:t>высокой квалификации</w:t>
      </w:r>
      <w:r w:rsidRPr="002223A6">
        <w:rPr>
          <w:szCs w:val="28"/>
        </w:rPr>
        <w:t>.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</w:p>
    <w:p w:rsidR="00610586" w:rsidRPr="00F43147" w:rsidRDefault="00610586" w:rsidP="00610586">
      <w:pPr>
        <w:spacing w:line="360" w:lineRule="auto"/>
        <w:jc w:val="center"/>
        <w:rPr>
          <w:b/>
          <w:szCs w:val="28"/>
        </w:rPr>
      </w:pPr>
      <w:r w:rsidRPr="00F43147">
        <w:rPr>
          <w:b/>
          <w:szCs w:val="28"/>
        </w:rPr>
        <w:t>Задание на лабораторную работу</w:t>
      </w:r>
    </w:p>
    <w:p w:rsidR="00610586" w:rsidRPr="002223A6" w:rsidRDefault="00610586" w:rsidP="00610586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>Рассмотреть следующие аппаратные средства и оборудование ЛВС: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>Исполнение сетевых адаптеров</w:t>
      </w:r>
      <w:r>
        <w:rPr>
          <w:szCs w:val="28"/>
        </w:rPr>
        <w:t>; в</w:t>
      </w:r>
      <w:r w:rsidRPr="002223A6">
        <w:rPr>
          <w:szCs w:val="28"/>
        </w:rPr>
        <w:t xml:space="preserve">иды кабелей для сетей (коаксиальный, неэкранированная витая пара, </w:t>
      </w:r>
      <w:r>
        <w:rPr>
          <w:szCs w:val="28"/>
        </w:rPr>
        <w:t>волоконно-оптический</w:t>
      </w:r>
      <w:r w:rsidRPr="002223A6">
        <w:rPr>
          <w:szCs w:val="28"/>
        </w:rPr>
        <w:t>).</w:t>
      </w:r>
    </w:p>
    <w:p w:rsidR="00610586" w:rsidRPr="002223A6" w:rsidRDefault="00610586" w:rsidP="00610586">
      <w:pPr>
        <w:spacing w:line="360" w:lineRule="auto"/>
        <w:jc w:val="both"/>
        <w:rPr>
          <w:szCs w:val="28"/>
        </w:rPr>
      </w:pPr>
    </w:p>
    <w:p w:rsidR="00945628" w:rsidRDefault="00945628"/>
    <w:sectPr w:rsidR="00945628" w:rsidSect="00945628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65E4" w:rsidRDefault="007665E4" w:rsidP="00610586">
      <w:r>
        <w:separator/>
      </w:r>
    </w:p>
  </w:endnote>
  <w:endnote w:type="continuationSeparator" w:id="0">
    <w:p w:rsidR="007665E4" w:rsidRDefault="007665E4" w:rsidP="006105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imbus Roman No9 L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ejaVu Sans">
    <w:panose1 w:val="020B0603030804020204"/>
    <w:charset w:val="CC"/>
    <w:family w:val="swiss"/>
    <w:pitch w:val="variable"/>
    <w:sig w:usb0="E7002EFF" w:usb1="D200FDFF" w:usb2="0A04602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884552"/>
      <w:docPartObj>
        <w:docPartGallery w:val="Page Numbers (Bottom of Page)"/>
        <w:docPartUnique/>
      </w:docPartObj>
    </w:sdtPr>
    <w:sdtContent>
      <w:p w:rsidR="00610586" w:rsidRDefault="007F4AB2">
        <w:pPr>
          <w:pStyle w:val="af3"/>
          <w:jc w:val="right"/>
        </w:pPr>
        <w:fldSimple w:instr=" PAGE   \* MERGEFORMAT ">
          <w:r w:rsidR="0061241D">
            <w:rPr>
              <w:noProof/>
            </w:rPr>
            <w:t>1</w:t>
          </w:r>
        </w:fldSimple>
      </w:p>
    </w:sdtContent>
  </w:sdt>
  <w:p w:rsidR="00610586" w:rsidRDefault="00610586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65E4" w:rsidRDefault="007665E4" w:rsidP="00610586">
      <w:r>
        <w:separator/>
      </w:r>
    </w:p>
  </w:footnote>
  <w:footnote w:type="continuationSeparator" w:id="0">
    <w:p w:rsidR="007665E4" w:rsidRDefault="007665E4" w:rsidP="00610586">
      <w:r>
        <w:continuationSeparator/>
      </w:r>
    </w:p>
  </w:footnote>
  <w:footnote w:id="1">
    <w:p w:rsidR="00610586" w:rsidRPr="003917E1" w:rsidRDefault="00610586" w:rsidP="00610586">
      <w:pPr>
        <w:pStyle w:val="af5"/>
      </w:pPr>
      <w:r>
        <w:rPr>
          <w:rStyle w:val="af7"/>
        </w:rPr>
        <w:footnoteRef/>
      </w:r>
      <w:r>
        <w:t xml:space="preserve"> Кондратенко С., Новиков Ю. Основы локальных сетей </w:t>
      </w:r>
      <w:r w:rsidRPr="007A3048">
        <w:t>[Электронный</w:t>
      </w:r>
      <w:r>
        <w:t xml:space="preserve"> </w:t>
      </w:r>
      <w:r w:rsidRPr="007A3048">
        <w:t>ресурс]</w:t>
      </w:r>
    </w:p>
  </w:footnote>
  <w:footnote w:id="2">
    <w:p w:rsidR="00610586" w:rsidRPr="008F462B" w:rsidRDefault="00610586" w:rsidP="00610586">
      <w:pPr>
        <w:pStyle w:val="af5"/>
      </w:pPr>
      <w:r>
        <w:rPr>
          <w:rStyle w:val="af7"/>
        </w:rPr>
        <w:footnoteRef/>
      </w:r>
      <w:r>
        <w:t xml:space="preserve"> Бабешко, В.Н. Распределенные информационно-вычислительные системы в туманных вычислительных сетях. «Информационно-телекоммуникационные системы и технологии» (ИТСИТ-2014).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3097D"/>
    <w:multiLevelType w:val="multilevel"/>
    <w:tmpl w:val="43FCA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26439E"/>
    <w:multiLevelType w:val="multilevel"/>
    <w:tmpl w:val="943A1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BA1122"/>
    <w:multiLevelType w:val="multilevel"/>
    <w:tmpl w:val="10FA9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5D744A"/>
    <w:multiLevelType w:val="hybridMultilevel"/>
    <w:tmpl w:val="289C4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3C7AB9"/>
    <w:multiLevelType w:val="multilevel"/>
    <w:tmpl w:val="6AE2D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2C37CB"/>
    <w:multiLevelType w:val="multilevel"/>
    <w:tmpl w:val="3F88B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6A4E45"/>
    <w:multiLevelType w:val="multilevel"/>
    <w:tmpl w:val="F6224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FF16DD"/>
    <w:multiLevelType w:val="multilevel"/>
    <w:tmpl w:val="9C1EA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D42404"/>
    <w:multiLevelType w:val="multilevel"/>
    <w:tmpl w:val="D3C6D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4040F1"/>
    <w:multiLevelType w:val="multilevel"/>
    <w:tmpl w:val="19F40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705E12"/>
    <w:multiLevelType w:val="multilevel"/>
    <w:tmpl w:val="3EAA6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335637"/>
    <w:multiLevelType w:val="multilevel"/>
    <w:tmpl w:val="76E6C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2F3D5A"/>
    <w:multiLevelType w:val="multilevel"/>
    <w:tmpl w:val="EF38F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3C3FB2"/>
    <w:multiLevelType w:val="multilevel"/>
    <w:tmpl w:val="7F185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7B1398E"/>
    <w:multiLevelType w:val="multilevel"/>
    <w:tmpl w:val="684C9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861FB0"/>
    <w:multiLevelType w:val="multilevel"/>
    <w:tmpl w:val="D8A4A1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BA5EB3"/>
    <w:multiLevelType w:val="multilevel"/>
    <w:tmpl w:val="646294C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7">
    <w:nsid w:val="3BB53F41"/>
    <w:multiLevelType w:val="multilevel"/>
    <w:tmpl w:val="C55CF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C47D2B"/>
    <w:multiLevelType w:val="multilevel"/>
    <w:tmpl w:val="82D47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A669F7"/>
    <w:multiLevelType w:val="multilevel"/>
    <w:tmpl w:val="CDD4D0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B1781F"/>
    <w:multiLevelType w:val="multilevel"/>
    <w:tmpl w:val="2F36A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84015AA"/>
    <w:multiLevelType w:val="multilevel"/>
    <w:tmpl w:val="AE5A5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FA93C02"/>
    <w:multiLevelType w:val="multilevel"/>
    <w:tmpl w:val="90F0F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21B210D"/>
    <w:multiLevelType w:val="multilevel"/>
    <w:tmpl w:val="4FE43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F17E23"/>
    <w:multiLevelType w:val="multilevel"/>
    <w:tmpl w:val="ADC27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43C4828"/>
    <w:multiLevelType w:val="multilevel"/>
    <w:tmpl w:val="BF36E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78848DC"/>
    <w:multiLevelType w:val="multilevel"/>
    <w:tmpl w:val="A92A2D2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7">
    <w:nsid w:val="5A535925"/>
    <w:multiLevelType w:val="multilevel"/>
    <w:tmpl w:val="4D8ED6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A5B2C75"/>
    <w:multiLevelType w:val="multilevel"/>
    <w:tmpl w:val="9DAA159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9">
    <w:nsid w:val="5A7F755D"/>
    <w:multiLevelType w:val="multilevel"/>
    <w:tmpl w:val="A060F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DB93CB4"/>
    <w:multiLevelType w:val="multilevel"/>
    <w:tmpl w:val="26F255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1">
    <w:nsid w:val="5EB211A4"/>
    <w:multiLevelType w:val="multilevel"/>
    <w:tmpl w:val="DFFE9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F8D752E"/>
    <w:multiLevelType w:val="multilevel"/>
    <w:tmpl w:val="5C72DA9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3">
    <w:nsid w:val="637C61D2"/>
    <w:multiLevelType w:val="multilevel"/>
    <w:tmpl w:val="DC449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745052F"/>
    <w:multiLevelType w:val="multilevel"/>
    <w:tmpl w:val="3A7053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9390ABD"/>
    <w:multiLevelType w:val="multilevel"/>
    <w:tmpl w:val="3F0651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0857BC8"/>
    <w:multiLevelType w:val="multilevel"/>
    <w:tmpl w:val="D15E9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BE9758C"/>
    <w:multiLevelType w:val="multilevel"/>
    <w:tmpl w:val="80DAA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C604D6D"/>
    <w:multiLevelType w:val="multilevel"/>
    <w:tmpl w:val="1C50A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D562BD1"/>
    <w:multiLevelType w:val="multilevel"/>
    <w:tmpl w:val="08306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36"/>
  </w:num>
  <w:num w:numId="4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2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9"/>
  </w:num>
  <w:num w:numId="8">
    <w:abstractNumId w:val="17"/>
  </w:num>
  <w:num w:numId="9">
    <w:abstractNumId w:val="29"/>
  </w:num>
  <w:num w:numId="10">
    <w:abstractNumId w:val="33"/>
  </w:num>
  <w:num w:numId="11">
    <w:abstractNumId w:val="2"/>
  </w:num>
  <w:num w:numId="12">
    <w:abstractNumId w:val="20"/>
  </w:num>
  <w:num w:numId="13">
    <w:abstractNumId w:val="5"/>
  </w:num>
  <w:num w:numId="14">
    <w:abstractNumId w:val="23"/>
  </w:num>
  <w:num w:numId="15">
    <w:abstractNumId w:val="37"/>
  </w:num>
  <w:num w:numId="16">
    <w:abstractNumId w:val="39"/>
  </w:num>
  <w:num w:numId="17">
    <w:abstractNumId w:val="25"/>
  </w:num>
  <w:num w:numId="18">
    <w:abstractNumId w:val="0"/>
  </w:num>
  <w:num w:numId="19">
    <w:abstractNumId w:val="14"/>
  </w:num>
  <w:num w:numId="20">
    <w:abstractNumId w:val="4"/>
  </w:num>
  <w:num w:numId="21">
    <w:abstractNumId w:val="13"/>
  </w:num>
  <w:num w:numId="22">
    <w:abstractNumId w:val="8"/>
  </w:num>
  <w:num w:numId="23">
    <w:abstractNumId w:val="18"/>
  </w:num>
  <w:num w:numId="24">
    <w:abstractNumId w:val="6"/>
  </w:num>
  <w:num w:numId="25">
    <w:abstractNumId w:val="16"/>
  </w:num>
  <w:num w:numId="26">
    <w:abstractNumId w:val="30"/>
  </w:num>
  <w:num w:numId="27">
    <w:abstractNumId w:val="28"/>
  </w:num>
  <w:num w:numId="28">
    <w:abstractNumId w:val="26"/>
  </w:num>
  <w:num w:numId="29">
    <w:abstractNumId w:val="32"/>
  </w:num>
  <w:num w:numId="30">
    <w:abstractNumId w:val="35"/>
  </w:num>
  <w:num w:numId="31">
    <w:abstractNumId w:val="19"/>
  </w:num>
  <w:num w:numId="32">
    <w:abstractNumId w:val="15"/>
  </w:num>
  <w:num w:numId="33">
    <w:abstractNumId w:val="38"/>
  </w:num>
  <w:num w:numId="34">
    <w:abstractNumId w:val="21"/>
  </w:num>
  <w:num w:numId="35">
    <w:abstractNumId w:val="1"/>
  </w:num>
  <w:num w:numId="36">
    <w:abstractNumId w:val="31"/>
  </w:num>
  <w:num w:numId="37">
    <w:abstractNumId w:val="27"/>
  </w:num>
  <w:num w:numId="38">
    <w:abstractNumId w:val="7"/>
  </w:num>
  <w:num w:numId="39">
    <w:abstractNumId w:val="34"/>
  </w:num>
  <w:num w:numId="4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0586"/>
    <w:rsid w:val="000A7D04"/>
    <w:rsid w:val="00610586"/>
    <w:rsid w:val="0061241D"/>
    <w:rsid w:val="007665E4"/>
    <w:rsid w:val="007F4AB2"/>
    <w:rsid w:val="00945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58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105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10586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10586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rsid w:val="00610586"/>
    <w:pPr>
      <w:keepNext/>
      <w:keepLines/>
      <w:overflowPunct/>
      <w:autoSpaceDE/>
      <w:autoSpaceDN/>
      <w:adjustRightInd/>
      <w:spacing w:before="200" w:line="276" w:lineRule="auto"/>
      <w:textAlignment w:val="auto"/>
      <w:outlineLvl w:val="3"/>
    </w:pPr>
    <w:rPr>
      <w:rFonts w:ascii="Cambria" w:hAnsi="Cambria"/>
      <w:b/>
      <w:bCs/>
      <w:i/>
      <w:iCs/>
      <w:color w:val="4F81BD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1058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10586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10586"/>
    <w:rPr>
      <w:rFonts w:ascii="Cambria" w:eastAsia="Times New Roman" w:hAnsi="Cambria" w:cs="Times New Roman"/>
      <w:b/>
      <w:bCs/>
      <w:color w:val="4F81BD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10586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a3">
    <w:name w:val="TOC Heading"/>
    <w:basedOn w:val="1"/>
    <w:next w:val="a"/>
    <w:uiPriority w:val="39"/>
    <w:semiHidden/>
    <w:unhideWhenUsed/>
    <w:qFormat/>
    <w:rsid w:val="00610586"/>
    <w:pPr>
      <w:keepLines/>
      <w:overflowPunct/>
      <w:autoSpaceDE/>
      <w:autoSpaceDN/>
      <w:adjustRightInd/>
      <w:spacing w:before="480" w:after="0" w:line="276" w:lineRule="auto"/>
      <w:textAlignment w:val="auto"/>
      <w:outlineLvl w:val="9"/>
    </w:pPr>
    <w:rPr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610586"/>
    <w:pPr>
      <w:spacing w:before="360"/>
    </w:pPr>
    <w:rPr>
      <w:rFonts w:ascii="Cambria" w:hAnsi="Cambria"/>
      <w:b/>
      <w:bCs/>
      <w:caps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610586"/>
    <w:pPr>
      <w:spacing w:before="240"/>
    </w:pPr>
    <w:rPr>
      <w:rFonts w:ascii="Calibri" w:hAnsi="Calibri"/>
      <w:b/>
      <w:bCs/>
      <w:sz w:val="20"/>
    </w:rPr>
  </w:style>
  <w:style w:type="character" w:styleId="a4">
    <w:name w:val="Hyperlink"/>
    <w:uiPriority w:val="99"/>
    <w:unhideWhenUsed/>
    <w:rsid w:val="00610586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61058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a6">
    <w:name w:val="Title"/>
    <w:basedOn w:val="a"/>
    <w:link w:val="a7"/>
    <w:uiPriority w:val="10"/>
    <w:qFormat/>
    <w:rsid w:val="00610586"/>
    <w:pPr>
      <w:overflowPunct/>
      <w:autoSpaceDE/>
      <w:autoSpaceDN/>
      <w:adjustRightInd/>
      <w:spacing w:line="360" w:lineRule="auto"/>
      <w:jc w:val="center"/>
      <w:textAlignment w:val="auto"/>
    </w:pPr>
    <w:rPr>
      <w:rFonts w:ascii="Arial" w:hAnsi="Arial"/>
      <w:b/>
      <w:bCs/>
      <w:sz w:val="24"/>
      <w:szCs w:val="24"/>
    </w:rPr>
  </w:style>
  <w:style w:type="character" w:customStyle="1" w:styleId="a7">
    <w:name w:val="Название Знак"/>
    <w:basedOn w:val="a0"/>
    <w:link w:val="a6"/>
    <w:uiPriority w:val="10"/>
    <w:rsid w:val="00610586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610586"/>
    <w:pPr>
      <w:overflowPunct/>
      <w:autoSpaceDE/>
      <w:autoSpaceDN/>
      <w:adjustRightInd/>
      <w:ind w:firstLine="567"/>
      <w:jc w:val="both"/>
      <w:textAlignment w:val="auto"/>
    </w:pPr>
    <w:rPr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61058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10586"/>
  </w:style>
  <w:style w:type="character" w:styleId="aa">
    <w:name w:val="Strong"/>
    <w:uiPriority w:val="22"/>
    <w:qFormat/>
    <w:rsid w:val="00610586"/>
    <w:rPr>
      <w:b/>
      <w:bCs/>
    </w:rPr>
  </w:style>
  <w:style w:type="character" w:styleId="ab">
    <w:name w:val="Emphasis"/>
    <w:uiPriority w:val="20"/>
    <w:qFormat/>
    <w:rsid w:val="00610586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610586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10586"/>
    <w:rPr>
      <w:rFonts w:ascii="Tahoma" w:eastAsia="Times New Roman" w:hAnsi="Tahoma" w:cs="Times New Roman"/>
      <w:sz w:val="16"/>
      <w:szCs w:val="16"/>
      <w:lang w:eastAsia="ru-RU"/>
    </w:rPr>
  </w:style>
  <w:style w:type="character" w:styleId="ae">
    <w:name w:val="FollowedHyperlink"/>
    <w:uiPriority w:val="99"/>
    <w:semiHidden/>
    <w:unhideWhenUsed/>
    <w:rsid w:val="00610586"/>
    <w:rPr>
      <w:color w:val="800080"/>
      <w:u w:val="single"/>
    </w:rPr>
  </w:style>
  <w:style w:type="character" w:customStyle="1" w:styleId="postheader">
    <w:name w:val="postheader"/>
    <w:basedOn w:val="a0"/>
    <w:rsid w:val="00610586"/>
  </w:style>
  <w:style w:type="paragraph" w:customStyle="1" w:styleId="ind">
    <w:name w:val="ind"/>
    <w:basedOn w:val="a"/>
    <w:rsid w:val="0061058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af">
    <w:name w:val="List Paragraph"/>
    <w:basedOn w:val="a"/>
    <w:uiPriority w:val="34"/>
    <w:qFormat/>
    <w:rsid w:val="00610586"/>
    <w:pPr>
      <w:ind w:left="720"/>
      <w:contextualSpacing/>
    </w:pPr>
  </w:style>
  <w:style w:type="table" w:styleId="af0">
    <w:name w:val="Table Grid"/>
    <w:basedOn w:val="a1"/>
    <w:uiPriority w:val="59"/>
    <w:rsid w:val="006105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"/>
    <w:link w:val="af2"/>
    <w:uiPriority w:val="99"/>
    <w:semiHidden/>
    <w:unhideWhenUsed/>
    <w:rsid w:val="00610586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61058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3">
    <w:name w:val="footer"/>
    <w:basedOn w:val="a"/>
    <w:link w:val="af4"/>
    <w:uiPriority w:val="99"/>
    <w:unhideWhenUsed/>
    <w:rsid w:val="0061058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61058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footnote text"/>
    <w:basedOn w:val="a"/>
    <w:link w:val="af6"/>
    <w:uiPriority w:val="99"/>
    <w:semiHidden/>
    <w:unhideWhenUsed/>
    <w:rsid w:val="00610586"/>
    <w:rPr>
      <w:sz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61058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footnote reference"/>
    <w:uiPriority w:val="99"/>
    <w:semiHidden/>
    <w:unhideWhenUsed/>
    <w:rsid w:val="00610586"/>
    <w:rPr>
      <w:vertAlign w:val="superscript"/>
    </w:rPr>
  </w:style>
  <w:style w:type="paragraph" w:customStyle="1" w:styleId="Standard">
    <w:name w:val="Standard"/>
    <w:rsid w:val="00610586"/>
    <w:pPr>
      <w:widowControl w:val="0"/>
      <w:suppressAutoHyphens/>
      <w:autoSpaceDN w:val="0"/>
      <w:spacing w:after="0" w:line="240" w:lineRule="auto"/>
      <w:textAlignment w:val="baseline"/>
    </w:pPr>
    <w:rPr>
      <w:rFonts w:ascii="Nimbus Roman No9 L" w:eastAsia="DejaVu Sans" w:hAnsi="Nimbus Roman No9 L" w:cs="DejaVu Sans"/>
      <w:kern w:val="3"/>
      <w:sz w:val="24"/>
      <w:szCs w:val="24"/>
      <w:lang w:eastAsia="ru-RU"/>
    </w:rPr>
  </w:style>
  <w:style w:type="paragraph" w:customStyle="1" w:styleId="Textbody">
    <w:name w:val="Text body"/>
    <w:basedOn w:val="Standard"/>
    <w:rsid w:val="00610586"/>
    <w:pPr>
      <w:spacing w:after="120"/>
    </w:pPr>
  </w:style>
  <w:style w:type="paragraph" w:styleId="af8">
    <w:name w:val="endnote text"/>
    <w:basedOn w:val="a"/>
    <w:link w:val="af9"/>
    <w:uiPriority w:val="99"/>
    <w:semiHidden/>
    <w:unhideWhenUsed/>
    <w:rsid w:val="00610586"/>
    <w:rPr>
      <w:sz w:val="20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610586"/>
    <w:rPr>
      <w:rFonts w:ascii="Times New Roman" w:eastAsia="Times New Roman" w:hAnsi="Times New Roman" w:cs="Times New Roman"/>
      <w:sz w:val="20"/>
      <w:szCs w:val="20"/>
    </w:rPr>
  </w:style>
  <w:style w:type="character" w:styleId="afa">
    <w:name w:val="endnote reference"/>
    <w:uiPriority w:val="99"/>
    <w:semiHidden/>
    <w:unhideWhenUsed/>
    <w:rsid w:val="0061058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1555</Words>
  <Characters>8868</Characters>
  <Application>Microsoft Office Word</Application>
  <DocSecurity>0</DocSecurity>
  <Lines>73</Lines>
  <Paragraphs>20</Paragraphs>
  <ScaleCrop>false</ScaleCrop>
  <Company>Krokoz™</Company>
  <LinksUpToDate>false</LinksUpToDate>
  <CharactersWithSpaces>10403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123456</dc:creator>
  <cp:keywords/>
  <dc:description/>
  <cp:lastModifiedBy>123456</cp:lastModifiedBy>
  <cp:revision>3</cp:revision>
  <dcterms:created xsi:type="dcterms:W3CDTF">2016-06-21T14:59:00Z</dcterms:created>
  <dcterms:modified xsi:type="dcterms:W3CDTF">2016-06-21T15:07:00Z</dcterms:modified>
</cp:coreProperties>
</file>