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0FD" w:rsidRPr="00F51545" w:rsidRDefault="002740FD" w:rsidP="00296CE6">
      <w:pPr>
        <w:tabs>
          <w:tab w:val="num" w:pos="0"/>
        </w:tabs>
        <w:spacing w:afterLines="40" w:after="96" w:line="312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r w:rsidRPr="00F515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для написания РГР по Экономической теории ч. 1.</w:t>
      </w:r>
    </w:p>
    <w:p w:rsidR="002740FD" w:rsidRPr="00F51545" w:rsidRDefault="002740FD" w:rsidP="00296CE6">
      <w:pPr>
        <w:tabs>
          <w:tab w:val="num" w:pos="0"/>
        </w:tabs>
        <w:spacing w:afterLines="40" w:after="96" w:line="312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15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Выбираем отрасль согласно классификации ОКВЭД и определяем в каком регионе /субъекте РФ планируете ее рассматривать, изучать и анализировать. </w:t>
      </w:r>
    </w:p>
    <w:p w:rsidR="002740FD" w:rsidRPr="00F51545" w:rsidRDefault="00296CE6" w:rsidP="002740FD">
      <w:pPr>
        <w:tabs>
          <w:tab w:val="num" w:pos="0"/>
        </w:tabs>
        <w:spacing w:afterLines="40" w:after="96" w:line="312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15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Отрасль экономики</w:t>
      </w:r>
      <w:r w:rsidRPr="00F515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совокупность организаций, предприятий, учреждений, производящих однородные товары и услуги, использующих однотипные технологии, удовлетворяющих близкие по природе потребности (Современный экономический словарь).</w:t>
      </w:r>
    </w:p>
    <w:p w:rsidR="00296CE6" w:rsidRPr="00F51545" w:rsidRDefault="002740FD" w:rsidP="002740FD">
      <w:pPr>
        <w:tabs>
          <w:tab w:val="num" w:pos="0"/>
        </w:tabs>
        <w:spacing w:afterLines="40" w:after="96" w:line="312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15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отрасли предлагается выполнить по следующей с</w:t>
      </w:r>
      <w:r w:rsidRPr="00F51545">
        <w:rPr>
          <w:rFonts w:ascii="Times New Roman" w:eastAsia="Times New Roman" w:hAnsi="Times New Roman" w:cs="Times New Roman"/>
          <w:b/>
          <w:bCs/>
          <w:sz w:val="24"/>
          <w:szCs w:val="24"/>
        </w:rPr>
        <w:t>хеме</w:t>
      </w:r>
      <w:r w:rsidR="00296CE6" w:rsidRPr="00F515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анализа отрасли:</w:t>
      </w:r>
    </w:p>
    <w:p w:rsidR="00296CE6" w:rsidRPr="00F51545" w:rsidRDefault="00296CE6" w:rsidP="00296CE6">
      <w:pPr>
        <w:keepNext/>
        <w:numPr>
          <w:ilvl w:val="0"/>
          <w:numId w:val="2"/>
        </w:numPr>
        <w:spacing w:afterLines="40" w:after="96" w:line="312" w:lineRule="auto"/>
        <w:ind w:right="-1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1545">
        <w:rPr>
          <w:rFonts w:ascii="Times New Roman" w:eastAsia="Times New Roman" w:hAnsi="Times New Roman" w:cs="Times New Roman"/>
          <w:bCs/>
          <w:sz w:val="24"/>
          <w:szCs w:val="24"/>
        </w:rPr>
        <w:t>Внешний контекст</w:t>
      </w:r>
    </w:p>
    <w:p w:rsidR="00296CE6" w:rsidRPr="00F51545" w:rsidRDefault="00296CE6" w:rsidP="00296CE6">
      <w:pPr>
        <w:keepNext/>
        <w:numPr>
          <w:ilvl w:val="0"/>
          <w:numId w:val="1"/>
        </w:numPr>
        <w:spacing w:afterLines="40" w:after="96" w:line="312" w:lineRule="auto"/>
        <w:ind w:right="-1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1545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Основные особенности рынка (российский / региональный уровень) </w:t>
      </w:r>
    </w:p>
    <w:p w:rsidR="00296CE6" w:rsidRPr="00F51545" w:rsidRDefault="00296CE6" w:rsidP="00296CE6">
      <w:pPr>
        <w:keepNext/>
        <w:numPr>
          <w:ilvl w:val="0"/>
          <w:numId w:val="1"/>
        </w:numPr>
        <w:spacing w:afterLines="40" w:after="96" w:line="312" w:lineRule="auto"/>
        <w:ind w:right="-1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1545">
        <w:rPr>
          <w:rFonts w:ascii="Times New Roman" w:eastAsia="Times New Roman" w:hAnsi="Times New Roman" w:cs="Times New Roman"/>
          <w:bCs/>
          <w:sz w:val="24"/>
          <w:szCs w:val="24"/>
        </w:rPr>
        <w:t>Тенденции развития рынка, влияние на текущее состояние отрасли в регионе</w:t>
      </w:r>
    </w:p>
    <w:p w:rsidR="00296CE6" w:rsidRPr="00F51545" w:rsidRDefault="00296CE6" w:rsidP="00296CE6">
      <w:pPr>
        <w:keepNext/>
        <w:numPr>
          <w:ilvl w:val="0"/>
          <w:numId w:val="1"/>
        </w:numPr>
        <w:spacing w:afterLines="40" w:after="96" w:line="312" w:lineRule="auto"/>
        <w:ind w:right="-1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1545">
        <w:rPr>
          <w:rFonts w:ascii="Times New Roman" w:eastAsia="Times New Roman" w:hAnsi="Times New Roman" w:cs="Times New Roman"/>
          <w:bCs/>
          <w:sz w:val="24"/>
          <w:szCs w:val="24"/>
        </w:rPr>
        <w:t>Тенденции развития смежных отраслей, влияние на текущую ситуацию в отрасли</w:t>
      </w:r>
    </w:p>
    <w:p w:rsidR="00296CE6" w:rsidRPr="00F51545" w:rsidRDefault="00296CE6" w:rsidP="00296CE6">
      <w:pPr>
        <w:keepNext/>
        <w:numPr>
          <w:ilvl w:val="0"/>
          <w:numId w:val="2"/>
        </w:numPr>
        <w:spacing w:afterLines="40" w:after="96" w:line="312" w:lineRule="auto"/>
        <w:ind w:right="-1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1545">
        <w:rPr>
          <w:rFonts w:ascii="Times New Roman" w:eastAsia="Times New Roman" w:hAnsi="Times New Roman" w:cs="Times New Roman"/>
          <w:bCs/>
          <w:sz w:val="24"/>
          <w:szCs w:val="24"/>
        </w:rPr>
        <w:t>Описание состояния отрасли в регионе</w:t>
      </w:r>
    </w:p>
    <w:p w:rsidR="00296CE6" w:rsidRPr="00F51545" w:rsidRDefault="00296CE6" w:rsidP="00296CE6">
      <w:pPr>
        <w:keepNext/>
        <w:numPr>
          <w:ilvl w:val="0"/>
          <w:numId w:val="1"/>
        </w:numPr>
        <w:spacing w:afterLines="40" w:after="96" w:line="312" w:lineRule="auto"/>
        <w:ind w:right="-1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1545">
        <w:rPr>
          <w:rFonts w:ascii="Times New Roman" w:eastAsia="Times New Roman" w:hAnsi="Times New Roman" w:cs="Times New Roman"/>
          <w:bCs/>
          <w:sz w:val="24"/>
          <w:szCs w:val="24"/>
        </w:rPr>
        <w:t>Влияние отрасли на экономику региона (ВРП, налоги, занятость)</w:t>
      </w:r>
    </w:p>
    <w:p w:rsidR="00296CE6" w:rsidRPr="00F51545" w:rsidRDefault="00296CE6" w:rsidP="00296CE6">
      <w:pPr>
        <w:keepNext/>
        <w:numPr>
          <w:ilvl w:val="0"/>
          <w:numId w:val="1"/>
        </w:numPr>
        <w:spacing w:afterLines="40" w:after="96" w:line="312" w:lineRule="auto"/>
        <w:ind w:right="-1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1545">
        <w:rPr>
          <w:rFonts w:ascii="Times New Roman" w:eastAsia="Times New Roman" w:hAnsi="Times New Roman" w:cs="Times New Roman"/>
          <w:bCs/>
          <w:sz w:val="24"/>
          <w:szCs w:val="24"/>
        </w:rPr>
        <w:t>Близость к поставщикам: сырье, комплектующие изделия.</w:t>
      </w:r>
    </w:p>
    <w:p w:rsidR="00296CE6" w:rsidRPr="00F51545" w:rsidRDefault="00296CE6" w:rsidP="00296CE6">
      <w:pPr>
        <w:keepNext/>
        <w:numPr>
          <w:ilvl w:val="0"/>
          <w:numId w:val="1"/>
        </w:numPr>
        <w:spacing w:afterLines="40" w:after="96" w:line="312" w:lineRule="auto"/>
        <w:ind w:right="-1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1545">
        <w:rPr>
          <w:rFonts w:ascii="Times New Roman" w:eastAsia="Times New Roman" w:hAnsi="Times New Roman" w:cs="Times New Roman"/>
          <w:bCs/>
          <w:sz w:val="24"/>
          <w:szCs w:val="24"/>
        </w:rPr>
        <w:t>Доступность и цена базовых ресурсов: энергия, вода, тепло, производственных услуг, водоснабжение и водоотведение.</w:t>
      </w:r>
    </w:p>
    <w:p w:rsidR="00296CE6" w:rsidRPr="00F51545" w:rsidRDefault="00296CE6" w:rsidP="00296CE6">
      <w:pPr>
        <w:keepNext/>
        <w:numPr>
          <w:ilvl w:val="0"/>
          <w:numId w:val="1"/>
        </w:numPr>
        <w:spacing w:afterLines="40" w:after="96" w:line="312" w:lineRule="auto"/>
        <w:ind w:right="-1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1545">
        <w:rPr>
          <w:rFonts w:ascii="Times New Roman" w:eastAsia="Times New Roman" w:hAnsi="Times New Roman" w:cs="Times New Roman"/>
          <w:bCs/>
          <w:sz w:val="24"/>
          <w:szCs w:val="24"/>
        </w:rPr>
        <w:t>Рабочая сила: наличие рабочей силы, квалификация рабочей силы, стоимость рабочей силы.</w:t>
      </w:r>
    </w:p>
    <w:p w:rsidR="00296CE6" w:rsidRPr="00F51545" w:rsidRDefault="00296CE6" w:rsidP="00296CE6">
      <w:pPr>
        <w:keepNext/>
        <w:numPr>
          <w:ilvl w:val="0"/>
          <w:numId w:val="1"/>
        </w:numPr>
        <w:spacing w:afterLines="40" w:after="96" w:line="312" w:lineRule="auto"/>
        <w:ind w:right="-1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1545">
        <w:rPr>
          <w:rFonts w:ascii="Times New Roman" w:eastAsia="Times New Roman" w:hAnsi="Times New Roman" w:cs="Times New Roman"/>
          <w:bCs/>
          <w:sz w:val="24"/>
          <w:szCs w:val="24"/>
        </w:rPr>
        <w:t>Доступность финансов для развития отрасли: привлекательность отрасли для инвестиций, исторические данные (реализованные инвестиционные проекты, успешные/неуспешные истории привлечения внешних инвесторов в отрасль), доступность банковского финансирования, отраслевые программы стимулирования инвесторов.</w:t>
      </w:r>
    </w:p>
    <w:p w:rsidR="00296CE6" w:rsidRPr="00F51545" w:rsidRDefault="00296CE6" w:rsidP="00296CE6">
      <w:pPr>
        <w:keepNext/>
        <w:numPr>
          <w:ilvl w:val="0"/>
          <w:numId w:val="2"/>
        </w:numPr>
        <w:spacing w:afterLines="40" w:after="96" w:line="312" w:lineRule="auto"/>
        <w:ind w:right="-1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1545">
        <w:rPr>
          <w:rFonts w:ascii="Times New Roman" w:eastAsia="Times New Roman" w:hAnsi="Times New Roman" w:cs="Times New Roman"/>
          <w:bCs/>
          <w:sz w:val="24"/>
          <w:szCs w:val="24"/>
        </w:rPr>
        <w:t>Организационная структура отрасли. Основные игроки и их рыночные доли. Ключевые предприятия-конкуренты.</w:t>
      </w:r>
    </w:p>
    <w:p w:rsidR="00296CE6" w:rsidRPr="00F51545" w:rsidRDefault="00296CE6" w:rsidP="00296CE6">
      <w:pPr>
        <w:spacing w:afterLines="40" w:after="96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6CE6" w:rsidRPr="00F51545" w:rsidRDefault="00296CE6" w:rsidP="00296CE6">
      <w:pPr>
        <w:keepNext/>
        <w:numPr>
          <w:ilvl w:val="0"/>
          <w:numId w:val="2"/>
        </w:numPr>
        <w:spacing w:afterLines="40" w:after="96" w:line="312" w:lineRule="auto"/>
        <w:ind w:right="-1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1545">
        <w:rPr>
          <w:rFonts w:ascii="Times New Roman" w:eastAsia="Times New Roman" w:hAnsi="Times New Roman" w:cs="Times New Roman"/>
          <w:bCs/>
          <w:sz w:val="24"/>
          <w:szCs w:val="24"/>
        </w:rPr>
        <w:t>Возможные регионы конкуренты по размещению новых производств в отрасли.</w:t>
      </w:r>
    </w:p>
    <w:p w:rsidR="00296CE6" w:rsidRPr="00F51545" w:rsidRDefault="00296CE6" w:rsidP="00296CE6">
      <w:pPr>
        <w:keepNext/>
        <w:numPr>
          <w:ilvl w:val="0"/>
          <w:numId w:val="2"/>
        </w:numPr>
        <w:spacing w:afterLines="40" w:after="96" w:line="312" w:lineRule="auto"/>
        <w:ind w:right="-1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1545">
        <w:rPr>
          <w:rFonts w:ascii="Times New Roman" w:eastAsia="Times New Roman" w:hAnsi="Times New Roman" w:cs="Times New Roman"/>
          <w:bCs/>
          <w:sz w:val="24"/>
          <w:szCs w:val="24"/>
        </w:rPr>
        <w:t>Перспективы развития отрасли в регионе.</w:t>
      </w:r>
    </w:p>
    <w:bookmarkEnd w:id="0"/>
    <w:p w:rsidR="00003F0F" w:rsidRPr="002740FD" w:rsidRDefault="002740FD" w:rsidP="002740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40FD">
        <w:rPr>
          <w:rFonts w:ascii="Times New Roman" w:hAnsi="Times New Roman" w:cs="Times New Roman"/>
          <w:sz w:val="24"/>
          <w:szCs w:val="24"/>
        </w:rPr>
        <w:t xml:space="preserve">2. </w:t>
      </w:r>
      <w:r w:rsidR="00A35D4A" w:rsidRPr="002740FD">
        <w:rPr>
          <w:rFonts w:ascii="Times New Roman" w:hAnsi="Times New Roman" w:cs="Times New Roman"/>
          <w:sz w:val="24"/>
          <w:szCs w:val="24"/>
        </w:rPr>
        <w:t>Экономически</w:t>
      </w:r>
      <w:r w:rsidR="00296CE6" w:rsidRPr="002740FD">
        <w:rPr>
          <w:rFonts w:ascii="Times New Roman" w:hAnsi="Times New Roman" w:cs="Times New Roman"/>
          <w:sz w:val="24"/>
          <w:szCs w:val="24"/>
        </w:rPr>
        <w:t xml:space="preserve">е тенденции в отрасли. </w:t>
      </w:r>
    </w:p>
    <w:p w:rsidR="00A35D4A" w:rsidRPr="002740FD" w:rsidRDefault="00A35D4A" w:rsidP="002740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40FD">
        <w:rPr>
          <w:rFonts w:ascii="Times New Roman" w:hAnsi="Times New Roman" w:cs="Times New Roman"/>
          <w:sz w:val="24"/>
          <w:szCs w:val="24"/>
        </w:rPr>
        <w:lastRenderedPageBreak/>
        <w:t>Охарактеризуйте основные черты и особенности развития данной отрасли за последние 5 лет и обозначьте наиболее значимые изменения в ее развитиии (количественные и качественные показатели).</w:t>
      </w:r>
    </w:p>
    <w:p w:rsidR="00AD206C" w:rsidRPr="002740FD" w:rsidRDefault="00AD206C" w:rsidP="002740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40FD">
        <w:rPr>
          <w:rFonts w:ascii="Times New Roman" w:hAnsi="Times New Roman" w:cs="Times New Roman"/>
          <w:sz w:val="24"/>
          <w:szCs w:val="24"/>
        </w:rPr>
        <w:t>Ключевые инвестиционные проекты. Существующие ограничения для их реализации.</w:t>
      </w:r>
    </w:p>
    <w:p w:rsidR="00A35D4A" w:rsidRPr="002740FD" w:rsidRDefault="00AD206C" w:rsidP="002740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40FD">
        <w:rPr>
          <w:rFonts w:ascii="Times New Roman" w:hAnsi="Times New Roman" w:cs="Times New Roman"/>
          <w:sz w:val="24"/>
          <w:szCs w:val="24"/>
        </w:rPr>
        <w:t>Потенциальные/ заявленные намерения инвесторов по развитию отрасли в РФ/ в регионе. Возможные инвесторы в отрасль.</w:t>
      </w:r>
    </w:p>
    <w:p w:rsidR="00296CE6" w:rsidRPr="002740FD" w:rsidRDefault="00AD206C" w:rsidP="002740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40FD">
        <w:rPr>
          <w:rFonts w:ascii="Times New Roman" w:hAnsi="Times New Roman" w:cs="Times New Roman"/>
          <w:sz w:val="24"/>
          <w:szCs w:val="24"/>
        </w:rPr>
        <w:t>Ключевые факторы успеха отрасли. Оценка конкурентоспособности отрасли в регионе.</w:t>
      </w:r>
    </w:p>
    <w:p w:rsidR="00785E55" w:rsidRPr="002740FD" w:rsidRDefault="002740FD" w:rsidP="002740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40FD">
        <w:rPr>
          <w:rFonts w:ascii="Times New Roman" w:hAnsi="Times New Roman" w:cs="Times New Roman"/>
          <w:sz w:val="24"/>
          <w:szCs w:val="24"/>
        </w:rPr>
        <w:t xml:space="preserve">3. </w:t>
      </w:r>
      <w:r w:rsidR="00785E55" w:rsidRPr="002740FD">
        <w:rPr>
          <w:rFonts w:ascii="Times New Roman" w:hAnsi="Times New Roman" w:cs="Times New Roman"/>
          <w:sz w:val="24"/>
          <w:szCs w:val="24"/>
        </w:rPr>
        <w:t xml:space="preserve">Экономические границы отрасли. </w:t>
      </w:r>
    </w:p>
    <w:p w:rsidR="00AD206C" w:rsidRPr="002740FD" w:rsidRDefault="00AD206C" w:rsidP="002740FD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40FD">
        <w:rPr>
          <w:rFonts w:ascii="Times New Roman" w:hAnsi="Times New Roman" w:cs="Times New Roman"/>
          <w:color w:val="000000"/>
          <w:sz w:val="24"/>
          <w:szCs w:val="24"/>
        </w:rPr>
        <w:t>Из определения отрасли следует, что </w:t>
      </w:r>
      <w:r w:rsidRPr="002740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основным фактором,</w:t>
      </w:r>
      <w:r w:rsidRPr="002740FD">
        <w:rPr>
          <w:rFonts w:ascii="Times New Roman" w:hAnsi="Times New Roman" w:cs="Times New Roman"/>
          <w:color w:val="000000"/>
          <w:sz w:val="24"/>
          <w:szCs w:val="24"/>
        </w:rPr>
        <w:t> определяющим границы отрасли, является </w:t>
      </w:r>
      <w:r w:rsidRPr="002740FD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товар</w:t>
      </w:r>
      <w:r w:rsidRPr="002740F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D206C" w:rsidRPr="002740FD" w:rsidRDefault="00AD206C" w:rsidP="002740FD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40FD">
        <w:rPr>
          <w:rFonts w:ascii="Times New Roman" w:hAnsi="Times New Roman" w:cs="Times New Roman"/>
          <w:color w:val="000000"/>
          <w:sz w:val="24"/>
          <w:szCs w:val="24"/>
        </w:rPr>
        <w:t>В маркет</w:t>
      </w:r>
      <w:r w:rsidR="00964F72" w:rsidRPr="002740FD">
        <w:rPr>
          <w:rFonts w:ascii="Times New Roman" w:hAnsi="Times New Roman" w:cs="Times New Roman"/>
          <w:color w:val="000000"/>
          <w:sz w:val="24"/>
          <w:szCs w:val="24"/>
        </w:rPr>
        <w:t xml:space="preserve">инге под товаром понимается внешний предмет, который может </w:t>
      </w:r>
      <w:r w:rsidRPr="002740FD">
        <w:rPr>
          <w:rFonts w:ascii="Times New Roman" w:hAnsi="Times New Roman" w:cs="Times New Roman"/>
          <w:color w:val="000000"/>
          <w:sz w:val="24"/>
          <w:szCs w:val="24"/>
        </w:rPr>
        <w:t xml:space="preserve"> удовлетворить потребность </w:t>
      </w:r>
      <w:r w:rsidR="00964F72" w:rsidRPr="002740FD">
        <w:rPr>
          <w:rFonts w:ascii="Times New Roman" w:hAnsi="Times New Roman" w:cs="Times New Roman"/>
          <w:color w:val="000000"/>
          <w:sz w:val="24"/>
          <w:szCs w:val="24"/>
        </w:rPr>
        <w:t xml:space="preserve"> человека и произведенный с целью реализации на рынке, а не собственного потребления. </w:t>
      </w:r>
      <w:r w:rsidRPr="002740FD">
        <w:rPr>
          <w:rFonts w:ascii="Times New Roman" w:hAnsi="Times New Roman" w:cs="Times New Roman"/>
          <w:color w:val="000000"/>
          <w:sz w:val="24"/>
          <w:szCs w:val="24"/>
        </w:rPr>
        <w:t xml:space="preserve">Однако товары, удовлетворяющие одну и туже </w:t>
      </w:r>
      <w:proofErr w:type="gramStart"/>
      <w:r w:rsidRPr="002740FD">
        <w:rPr>
          <w:rFonts w:ascii="Times New Roman" w:hAnsi="Times New Roman" w:cs="Times New Roman"/>
          <w:color w:val="000000"/>
          <w:sz w:val="24"/>
          <w:szCs w:val="24"/>
        </w:rPr>
        <w:t>потребность</w:t>
      </w:r>
      <w:proofErr w:type="gramEnd"/>
      <w:r w:rsidRPr="002740FD">
        <w:rPr>
          <w:rFonts w:ascii="Times New Roman" w:hAnsi="Times New Roman" w:cs="Times New Roman"/>
          <w:color w:val="000000"/>
          <w:sz w:val="24"/>
          <w:szCs w:val="24"/>
        </w:rPr>
        <w:t xml:space="preserve"> могут быть или совершенно идентичными, или схожими по основным характеристикам, или существенно различаться. Например, если человек испытывает чувство жажды, то он может выпить воды или молока, или пиво – и это все разные товары и разные отрасли, несмотря на то, что предприятия этих отраслей будут конкурировать между собой (межотраслевая конкуренция). В тоже время молоко будет различаться по жирности, внешнему виду упаковки, производителям и другим параметрам – то есть все производители молока будут конкурировать между собой (внутриотраслевая конкуренция).</w:t>
      </w:r>
    </w:p>
    <w:p w:rsidR="00AD206C" w:rsidRPr="00AD206C" w:rsidRDefault="00964F72" w:rsidP="002740F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1. </w:t>
      </w:r>
      <w:r w:rsidR="00AD206C" w:rsidRPr="00AD2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Соотношение состава товарной группы, типа рынка и состава отрасли</w:t>
      </w:r>
    </w:p>
    <w:tbl>
      <w:tblPr>
        <w:tblW w:w="98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30"/>
        <w:gridCol w:w="1791"/>
        <w:gridCol w:w="2021"/>
        <w:gridCol w:w="3113"/>
      </w:tblGrid>
      <w:tr w:rsidR="00AD206C" w:rsidRPr="00AD206C" w:rsidTr="00AD206C"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6C" w:rsidRPr="00AD206C" w:rsidRDefault="00AD206C" w:rsidP="002740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товарной группы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6C" w:rsidRPr="00AD206C" w:rsidRDefault="00AD206C" w:rsidP="002740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рынка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6C" w:rsidRPr="00AD206C" w:rsidRDefault="00AD206C" w:rsidP="002740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6C" w:rsidRPr="00AD206C" w:rsidRDefault="00AD206C" w:rsidP="002740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 и </w:t>
            </w:r>
            <w:r w:rsidRPr="00274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</w:t>
            </w:r>
            <w:r w:rsidRPr="00AD2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отрасли</w:t>
            </w:r>
          </w:p>
        </w:tc>
      </w:tr>
      <w:tr w:rsidR="00AD206C" w:rsidRPr="00AD206C" w:rsidTr="00AD206C">
        <w:tc>
          <w:tcPr>
            <w:tcW w:w="29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6C" w:rsidRPr="00AD206C" w:rsidRDefault="00AD206C" w:rsidP="002740F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Товарную группу составляют </w:t>
            </w:r>
            <w:proofErr w:type="gramStart"/>
            <w:r w:rsidRPr="00AD2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одно- родные</w:t>
            </w:r>
            <w:proofErr w:type="gramEnd"/>
            <w:r w:rsidRPr="00AD2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товары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6C" w:rsidRPr="00AD206C" w:rsidRDefault="00AD206C" w:rsidP="002740F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Совершенная конкуренция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6C" w:rsidRPr="00AD206C" w:rsidRDefault="00AD206C" w:rsidP="002740F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Производители зерна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6C" w:rsidRPr="00AD206C" w:rsidRDefault="00AD206C" w:rsidP="002740F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рынке присутствует множество производителей, доля каждого невелика и ни один из них не в состоянии повлиять на ситуацию в отрасли</w:t>
            </w:r>
          </w:p>
        </w:tc>
      </w:tr>
      <w:tr w:rsidR="00AD206C" w:rsidRPr="00AD206C" w:rsidTr="00AD206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06C" w:rsidRPr="00AD206C" w:rsidRDefault="00AD206C" w:rsidP="002740F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6C" w:rsidRPr="00AD206C" w:rsidRDefault="00AD206C" w:rsidP="002740F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Олигополия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6C" w:rsidRPr="00AD206C" w:rsidRDefault="00AD206C" w:rsidP="002740F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Производители черных и цветных металлов, бензина и т.п.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6C" w:rsidRPr="00AD206C" w:rsidRDefault="00AD206C" w:rsidP="002740F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рынке может присутствовать 2 и более производителей (но до 10-15), и как минимум один из них в состоянии влиять на ситуацию в отрасли</w:t>
            </w:r>
          </w:p>
        </w:tc>
      </w:tr>
      <w:tr w:rsidR="00AD206C" w:rsidRPr="00AD206C" w:rsidTr="00AD206C">
        <w:tc>
          <w:tcPr>
            <w:tcW w:w="29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6C" w:rsidRPr="00AD206C" w:rsidRDefault="00AD206C" w:rsidP="002740F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Товарную группу составляют </w:t>
            </w:r>
            <w:proofErr w:type="spellStart"/>
            <w:r w:rsidRPr="00AD2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</w:t>
            </w:r>
            <w:proofErr w:type="spellEnd"/>
            <w:r w:rsidRPr="00AD2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noBreakHyphen/>
              <w:t xml:space="preserve"> </w:t>
            </w:r>
            <w:proofErr w:type="spellStart"/>
            <w:r w:rsidRPr="00AD2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ренцированные</w:t>
            </w:r>
            <w:proofErr w:type="spellEnd"/>
            <w:r w:rsidRPr="00AD2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D2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то-вары</w:t>
            </w:r>
            <w:proofErr w:type="gramEnd"/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6C" w:rsidRPr="00AD206C" w:rsidRDefault="00AD206C" w:rsidP="002740F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Олигополия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6C" w:rsidRPr="00AD206C" w:rsidRDefault="00AD206C" w:rsidP="002740F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Производители </w:t>
            </w:r>
            <w:proofErr w:type="gramStart"/>
            <w:r w:rsidRPr="00AD2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авто-</w:t>
            </w:r>
            <w:proofErr w:type="spellStart"/>
            <w:r w:rsidRPr="00AD2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мобилей</w:t>
            </w:r>
            <w:proofErr w:type="spellEnd"/>
            <w:proofErr w:type="gramEnd"/>
            <w:r w:rsidRPr="00AD2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компьютеров и т.п.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6C" w:rsidRPr="00AD206C" w:rsidRDefault="00AD206C" w:rsidP="002740F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рынке может присутствовать 2 и более производителей (но до 10-15), и как минимум один из них в состоянии влиять на ситуацию в отрасли</w:t>
            </w:r>
          </w:p>
        </w:tc>
      </w:tr>
      <w:tr w:rsidR="00AD206C" w:rsidRPr="00AD206C" w:rsidTr="00AD206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06C" w:rsidRPr="00AD206C" w:rsidRDefault="00AD206C" w:rsidP="002740F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6C" w:rsidRPr="00AD206C" w:rsidRDefault="00AD206C" w:rsidP="002740F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proofErr w:type="gramStart"/>
            <w:r w:rsidRPr="00AD2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Монополисти-ческая</w:t>
            </w:r>
            <w:proofErr w:type="spellEnd"/>
            <w:proofErr w:type="gramEnd"/>
            <w:r w:rsidRPr="00AD2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конку-</w:t>
            </w:r>
            <w:proofErr w:type="spellStart"/>
            <w:r w:rsidRPr="00AD2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ренция</w:t>
            </w:r>
            <w:proofErr w:type="spellEnd"/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6C" w:rsidRPr="00AD206C" w:rsidRDefault="00AD206C" w:rsidP="002740F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Производители </w:t>
            </w:r>
            <w:proofErr w:type="spellStart"/>
            <w:proofErr w:type="gramStart"/>
            <w:r w:rsidRPr="00AD2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</w:t>
            </w:r>
            <w:proofErr w:type="spellEnd"/>
            <w:r w:rsidRPr="00AD2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AD2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</w:t>
            </w:r>
            <w:proofErr w:type="spellEnd"/>
            <w:proofErr w:type="gramEnd"/>
            <w:r w:rsidRPr="00AD2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питания, средств гигиены и т.п.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6C" w:rsidRPr="00AD206C" w:rsidRDefault="00AD206C" w:rsidP="002740F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рынке присутствует множество производителей, доля каждого невелика и ни один из них не в состоянии повлиять на ситуацию в отрасли</w:t>
            </w:r>
          </w:p>
        </w:tc>
      </w:tr>
      <w:tr w:rsidR="00AD206C" w:rsidRPr="00AD206C" w:rsidTr="00AD206C"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6C" w:rsidRPr="00AD206C" w:rsidRDefault="00AD206C" w:rsidP="002740F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В товарную группу входит 1 товар, не имеющий близких </w:t>
            </w:r>
            <w:proofErr w:type="gramStart"/>
            <w:r w:rsidRPr="00AD2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за- </w:t>
            </w:r>
            <w:proofErr w:type="spellStart"/>
            <w:r w:rsidRPr="00AD2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менителей</w:t>
            </w:r>
            <w:proofErr w:type="spellEnd"/>
            <w:proofErr w:type="gramEnd"/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6C" w:rsidRPr="00AD206C" w:rsidRDefault="00AD206C" w:rsidP="002740F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Монополия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6C" w:rsidRPr="00AD206C" w:rsidRDefault="00AD206C" w:rsidP="002740F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Производители </w:t>
            </w:r>
            <w:proofErr w:type="spellStart"/>
            <w:proofErr w:type="gramStart"/>
            <w:r w:rsidRPr="00AD2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элект-роэнергии</w:t>
            </w:r>
            <w:proofErr w:type="spellEnd"/>
            <w:proofErr w:type="gramEnd"/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206C" w:rsidRPr="00AD206C" w:rsidRDefault="00AD206C" w:rsidP="002740F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Вся отрасль </w:t>
            </w:r>
            <w:proofErr w:type="spellStart"/>
            <w:r w:rsidRPr="00AD2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предствалена</w:t>
            </w:r>
            <w:proofErr w:type="spellEnd"/>
            <w:r w:rsidRPr="00AD2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единственным продавцом, который полностью может контролировать ситуацию на товарном рынке</w:t>
            </w:r>
          </w:p>
        </w:tc>
      </w:tr>
    </w:tbl>
    <w:p w:rsidR="00AD206C" w:rsidRPr="00AD206C" w:rsidRDefault="00AD206C" w:rsidP="002740FD">
      <w:pPr>
        <w:spacing w:before="40" w:after="4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D206C">
        <w:rPr>
          <w:rFonts w:ascii="Times New Roman" w:eastAsia="Calibri" w:hAnsi="Times New Roman" w:cs="Times New Roman"/>
          <w:i/>
          <w:sz w:val="24"/>
          <w:szCs w:val="24"/>
        </w:rPr>
        <w:t>1.     Определение «масштабов» рынка</w:t>
      </w:r>
    </w:p>
    <w:p w:rsidR="00AD206C" w:rsidRPr="00AD206C" w:rsidRDefault="00AD206C" w:rsidP="002740FD">
      <w:pPr>
        <w:numPr>
          <w:ilvl w:val="0"/>
          <w:numId w:val="4"/>
        </w:numPr>
        <w:spacing w:before="40" w:after="4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06C">
        <w:rPr>
          <w:rFonts w:ascii="Times New Roman" w:eastAsia="Calibri" w:hAnsi="Times New Roman" w:cs="Times New Roman"/>
          <w:sz w:val="24"/>
          <w:szCs w:val="24"/>
        </w:rPr>
        <w:t xml:space="preserve">региональный рынок </w:t>
      </w:r>
    </w:p>
    <w:p w:rsidR="00AD206C" w:rsidRPr="00AD206C" w:rsidRDefault="00AD206C" w:rsidP="002740FD">
      <w:pPr>
        <w:numPr>
          <w:ilvl w:val="0"/>
          <w:numId w:val="4"/>
        </w:numPr>
        <w:spacing w:before="40" w:after="4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06C">
        <w:rPr>
          <w:rFonts w:ascii="Times New Roman" w:eastAsia="Calibri" w:hAnsi="Times New Roman" w:cs="Times New Roman"/>
          <w:sz w:val="24"/>
          <w:szCs w:val="24"/>
        </w:rPr>
        <w:t>межрегиональный рынок</w:t>
      </w:r>
    </w:p>
    <w:p w:rsidR="00AD206C" w:rsidRPr="00AD206C" w:rsidRDefault="00AD206C" w:rsidP="002740FD">
      <w:pPr>
        <w:numPr>
          <w:ilvl w:val="0"/>
          <w:numId w:val="4"/>
        </w:numPr>
        <w:spacing w:before="40" w:after="4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06C">
        <w:rPr>
          <w:rFonts w:ascii="Times New Roman" w:eastAsia="Calibri" w:hAnsi="Times New Roman" w:cs="Times New Roman"/>
          <w:sz w:val="24"/>
          <w:szCs w:val="24"/>
        </w:rPr>
        <w:t>глобальный рынок.</w:t>
      </w:r>
    </w:p>
    <w:p w:rsidR="00AD206C" w:rsidRPr="002740FD" w:rsidRDefault="00AD206C" w:rsidP="002740FD">
      <w:pPr>
        <w:spacing w:before="40" w:after="4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06C">
        <w:rPr>
          <w:rFonts w:ascii="Times New Roman" w:eastAsia="Calibri" w:hAnsi="Times New Roman" w:cs="Times New Roman"/>
          <w:sz w:val="24"/>
          <w:szCs w:val="24"/>
        </w:rPr>
        <w:t xml:space="preserve">Анализ «отрасли» должен соответствовать масштабу рынка. Например, компании в пищевой промышленности будут, скорее всего, конкурировать на региональном рынке. Поэтому анализ можно ограничить, в значительной мере, только региональной (областной) информацией. Для анализа компаний, конкурирующих на общероссийском рынке, будет необходима информация на общероссийском уровне. Для экспортных компаний, для </w:t>
      </w:r>
      <w:r w:rsidRPr="00AD206C">
        <w:rPr>
          <w:rFonts w:ascii="Times New Roman" w:eastAsia="Calibri" w:hAnsi="Times New Roman" w:cs="Times New Roman"/>
          <w:sz w:val="24"/>
          <w:szCs w:val="24"/>
        </w:rPr>
        <w:lastRenderedPageBreak/>
        <w:t>определения привлекательности отрасли необходимо анализировать инфо</w:t>
      </w:r>
      <w:r w:rsidR="00EB3EB7" w:rsidRPr="002740FD">
        <w:rPr>
          <w:rFonts w:ascii="Times New Roman" w:eastAsia="Calibri" w:hAnsi="Times New Roman" w:cs="Times New Roman"/>
          <w:sz w:val="24"/>
          <w:szCs w:val="24"/>
        </w:rPr>
        <w:t>рмацию на уровне мировых рынков.</w:t>
      </w:r>
    </w:p>
    <w:p w:rsidR="00AD206C" w:rsidRPr="002740FD" w:rsidRDefault="00AD206C" w:rsidP="002740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40FD">
        <w:rPr>
          <w:rFonts w:ascii="Times New Roman" w:hAnsi="Times New Roman" w:cs="Times New Roman"/>
          <w:sz w:val="24"/>
          <w:szCs w:val="24"/>
        </w:rPr>
        <w:t xml:space="preserve">4. Типы рыночных структур </w:t>
      </w:r>
    </w:p>
    <w:p w:rsidR="00C30EDE" w:rsidRPr="002740FD" w:rsidRDefault="00C30EDE" w:rsidP="002740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40FD">
        <w:rPr>
          <w:rFonts w:ascii="Times New Roman" w:hAnsi="Times New Roman" w:cs="Times New Roman"/>
          <w:sz w:val="24"/>
          <w:szCs w:val="24"/>
        </w:rPr>
        <w:t>Поясняем какой тип рыночной структуры в этой отрасли.</w:t>
      </w:r>
    </w:p>
    <w:p w:rsidR="00C30EDE" w:rsidRPr="002740FD" w:rsidRDefault="00C30EDE" w:rsidP="002740FD">
      <w:pPr>
        <w:pStyle w:val="a3"/>
        <w:shd w:val="clear" w:color="auto" w:fill="FFFFFF"/>
        <w:spacing w:before="0" w:beforeAutospacing="0" w:after="0" w:afterAutospacing="0" w:line="360" w:lineRule="auto"/>
        <w:ind w:firstLine="540"/>
      </w:pPr>
      <w:r w:rsidRPr="002740FD">
        <w:t>5. Рыночная концентрация и расчет показателей.</w:t>
      </w:r>
    </w:p>
    <w:p w:rsidR="00C30EDE" w:rsidRPr="002740FD" w:rsidRDefault="00C30EDE" w:rsidP="002740FD">
      <w:pPr>
        <w:pStyle w:val="a3"/>
        <w:shd w:val="clear" w:color="auto" w:fill="FFFFFF"/>
        <w:spacing w:before="0" w:beforeAutospacing="0" w:after="0" w:afterAutospacing="0" w:line="360" w:lineRule="auto"/>
        <w:ind w:firstLine="540"/>
        <w:rPr>
          <w:color w:val="000000"/>
        </w:rPr>
      </w:pPr>
      <w:r w:rsidRPr="002740FD">
        <w:rPr>
          <w:color w:val="000000"/>
        </w:rPr>
        <w:t>В целях оценки состояния конкуренции на товарном рынке и заключения о том, к какому виду рынка относится рассматриваемый товарный рынок, производится расчет показателя уровня концентрации товарного рынка.</w:t>
      </w:r>
    </w:p>
    <w:p w:rsidR="00C30EDE" w:rsidRPr="002740FD" w:rsidRDefault="00C30EDE" w:rsidP="002740FD">
      <w:pPr>
        <w:pStyle w:val="a3"/>
        <w:shd w:val="clear" w:color="auto" w:fill="FFFFFF"/>
        <w:spacing w:before="210" w:beforeAutospacing="0" w:after="0" w:afterAutospacing="0" w:line="360" w:lineRule="auto"/>
        <w:ind w:firstLine="540"/>
        <w:rPr>
          <w:color w:val="000000"/>
        </w:rPr>
      </w:pPr>
      <w:r w:rsidRPr="002740FD">
        <w:rPr>
          <w:color w:val="000000"/>
          <w:highlight w:val="yellow"/>
        </w:rPr>
        <w:t>При этом следует принимать во внимание, что правильное определение уровня концентрации товарного рынка возможно только при правильном определении продуктовых и географических границ товарного рынка</w:t>
      </w:r>
      <w:r w:rsidRPr="002740FD">
        <w:rPr>
          <w:color w:val="000000"/>
        </w:rPr>
        <w:t xml:space="preserve">, что вы уже рассмотрели в предыдущем пункте. </w:t>
      </w:r>
    </w:p>
    <w:p w:rsidR="00C30EDE" w:rsidRPr="002740FD" w:rsidRDefault="00C30EDE" w:rsidP="002740FD">
      <w:pPr>
        <w:pStyle w:val="a3"/>
        <w:shd w:val="clear" w:color="auto" w:fill="FFFFFF"/>
        <w:spacing w:before="210" w:beforeAutospacing="0" w:after="0" w:afterAutospacing="0" w:line="360" w:lineRule="auto"/>
        <w:ind w:firstLine="540"/>
        <w:rPr>
          <w:color w:val="000000"/>
        </w:rPr>
      </w:pPr>
      <w:r w:rsidRPr="002740FD">
        <w:rPr>
          <w:color w:val="000000"/>
        </w:rPr>
        <w:t> Выделим наиболее значимые показатели, используемые для определения уровня концентрации товарного рынка:</w:t>
      </w:r>
    </w:p>
    <w:p w:rsidR="00C30EDE" w:rsidRPr="002740FD" w:rsidRDefault="00C30EDE" w:rsidP="002740FD">
      <w:pPr>
        <w:pStyle w:val="a3"/>
        <w:shd w:val="clear" w:color="auto" w:fill="FFFFFF"/>
        <w:spacing w:before="210" w:beforeAutospacing="0" w:after="0" w:afterAutospacing="0" w:line="360" w:lineRule="auto"/>
        <w:ind w:firstLine="540"/>
        <w:rPr>
          <w:color w:val="000000"/>
        </w:rPr>
      </w:pPr>
      <w:r w:rsidRPr="002740FD">
        <w:rPr>
          <w:color w:val="000000"/>
        </w:rPr>
        <w:t>а) коэффициент рыночной концентрации (CR) - сумма долей на товарном рынке (выраженных в процентах) определенного числа (n) крупнейших хозяйствующих субъектов, действующих на данном рынке;</w:t>
      </w:r>
    </w:p>
    <w:p w:rsidR="00755CE6" w:rsidRPr="002740FD" w:rsidRDefault="00C30EDE" w:rsidP="002740FD">
      <w:pPr>
        <w:pStyle w:val="a3"/>
        <w:shd w:val="clear" w:color="auto" w:fill="FFFFFF"/>
        <w:spacing w:before="210" w:beforeAutospacing="0" w:after="0" w:afterAutospacing="0" w:line="360" w:lineRule="auto"/>
        <w:ind w:firstLine="540"/>
        <w:rPr>
          <w:color w:val="000000"/>
        </w:rPr>
      </w:pPr>
      <w:r w:rsidRPr="002740FD">
        <w:rPr>
          <w:color w:val="000000"/>
        </w:rPr>
        <w:t>б) индекс ры</w:t>
      </w:r>
      <w:r w:rsidR="00755CE6" w:rsidRPr="002740FD">
        <w:rPr>
          <w:color w:val="000000"/>
        </w:rPr>
        <w:t xml:space="preserve">ночной концентрации </w:t>
      </w:r>
      <w:proofErr w:type="spellStart"/>
      <w:r w:rsidR="00755CE6" w:rsidRPr="002740FD">
        <w:rPr>
          <w:color w:val="000000"/>
        </w:rPr>
        <w:t>Герфиндаля-Х</w:t>
      </w:r>
      <w:r w:rsidRPr="002740FD">
        <w:rPr>
          <w:color w:val="000000"/>
        </w:rPr>
        <w:t>иршмана</w:t>
      </w:r>
      <w:proofErr w:type="spellEnd"/>
      <w:r w:rsidRPr="002740FD">
        <w:rPr>
          <w:color w:val="000000"/>
        </w:rPr>
        <w:t xml:space="preserve"> (HHI) - сумма квадратов долей (выраженных в процентах) на товарном рынке всех хозяйствующих субъектов, действующих на данном рынке;</w:t>
      </w:r>
    </w:p>
    <w:p w:rsidR="00755CE6" w:rsidRPr="002740FD" w:rsidRDefault="00755CE6" w:rsidP="002740FD">
      <w:pPr>
        <w:pStyle w:val="a3"/>
        <w:shd w:val="clear" w:color="auto" w:fill="FFFFFF"/>
        <w:spacing w:before="210" w:beforeAutospacing="0" w:after="0" w:afterAutospacing="0" w:line="360" w:lineRule="auto"/>
        <w:ind w:firstLine="540"/>
        <w:rPr>
          <w:color w:val="000000"/>
          <w:shd w:val="clear" w:color="auto" w:fill="FFFFFF"/>
        </w:rPr>
      </w:pPr>
      <w:r w:rsidRPr="002740FD">
        <w:rPr>
          <w:color w:val="000000"/>
          <w:shd w:val="clear" w:color="auto" w:fill="FFFFFF"/>
        </w:rPr>
        <w:t>Установленные данными индексами количественные показатели определяют уровень концентрации рынка как высокий, умеренный или низкий.</w:t>
      </w:r>
    </w:p>
    <w:p w:rsidR="00755CE6" w:rsidRPr="002740FD" w:rsidRDefault="00755CE6" w:rsidP="002740FD">
      <w:pPr>
        <w:pStyle w:val="a3"/>
        <w:shd w:val="clear" w:color="auto" w:fill="FFFFFF"/>
        <w:spacing w:line="360" w:lineRule="auto"/>
        <w:rPr>
          <w:color w:val="1D2126"/>
          <w:spacing w:val="7"/>
        </w:rPr>
      </w:pPr>
      <w:r w:rsidRPr="002740FD">
        <w:rPr>
          <w:color w:val="000000"/>
          <w:shd w:val="clear" w:color="auto" w:fill="FFFFFF"/>
        </w:rPr>
        <w:t>6.</w:t>
      </w:r>
      <w:r w:rsidRPr="002740FD">
        <w:rPr>
          <w:color w:val="1D2126"/>
          <w:spacing w:val="7"/>
        </w:rPr>
        <w:t xml:space="preserve"> </w:t>
      </w:r>
      <w:r w:rsidR="00F1525B" w:rsidRPr="002740FD">
        <w:rPr>
          <w:b/>
          <w:bCs/>
          <w:color w:val="1D2126"/>
          <w:spacing w:val="7"/>
          <w:bdr w:val="none" w:sz="0" w:space="0" w:color="auto" w:frame="1"/>
          <w:shd w:val="clear" w:color="auto" w:fill="FFFFFF"/>
        </w:rPr>
        <w:t xml:space="preserve">Рыночная власть </w:t>
      </w:r>
      <w:r w:rsidR="00F1525B" w:rsidRPr="002740FD">
        <w:rPr>
          <w:color w:val="1D2126"/>
          <w:spacing w:val="7"/>
          <w:shd w:val="clear" w:color="auto" w:fill="FFFFFF"/>
        </w:rPr>
        <w:t>способность фирмы или группы фирм назначать и поддерживать цены выше уровня, который складывается при </w:t>
      </w:r>
      <w:r w:rsidR="00F1525B" w:rsidRPr="002740FD">
        <w:t>совершенной конкуренции,</w:t>
      </w:r>
      <w:r w:rsidR="00F1525B" w:rsidRPr="002740FD">
        <w:rPr>
          <w:color w:val="1D2126"/>
          <w:spacing w:val="7"/>
          <w:shd w:val="clear" w:color="auto" w:fill="FFFFFF"/>
        </w:rPr>
        <w:t xml:space="preserve"> что может привести к сокращению производства и снижению </w:t>
      </w:r>
      <w:r w:rsidR="00F1525B" w:rsidRPr="002740FD">
        <w:t>общественного благосостояния</w:t>
      </w:r>
    </w:p>
    <w:p w:rsidR="00755CE6" w:rsidRPr="002740FD" w:rsidRDefault="00755CE6" w:rsidP="002740FD">
      <w:pPr>
        <w:pStyle w:val="a3"/>
        <w:shd w:val="clear" w:color="auto" w:fill="FFFFFF"/>
        <w:spacing w:line="360" w:lineRule="auto"/>
        <w:rPr>
          <w:color w:val="1D2126"/>
          <w:spacing w:val="7"/>
        </w:rPr>
      </w:pPr>
      <w:r w:rsidRPr="002740FD">
        <w:rPr>
          <w:color w:val="1D2126"/>
          <w:spacing w:val="7"/>
        </w:rPr>
        <w:t>Для оценки рыночной власти могут быть использованы следующие основные</w:t>
      </w:r>
      <w:r w:rsidR="00F507DC" w:rsidRPr="002740FD">
        <w:rPr>
          <w:color w:val="1D2126"/>
          <w:spacing w:val="7"/>
        </w:rPr>
        <w:t xml:space="preserve"> показатели. Студенты при выполнении РГР обязательно рассчитывают индекс Лернера, остальные коэффициенты по желанию. </w:t>
      </w:r>
    </w:p>
    <w:p w:rsidR="00755CE6" w:rsidRPr="002740FD" w:rsidRDefault="00755CE6" w:rsidP="002740FD">
      <w:pPr>
        <w:pStyle w:val="a3"/>
        <w:shd w:val="clear" w:color="auto" w:fill="FFFFFF"/>
        <w:spacing w:before="0" w:after="0" w:line="360" w:lineRule="auto"/>
        <w:rPr>
          <w:color w:val="1D2126"/>
          <w:spacing w:val="7"/>
        </w:rPr>
      </w:pPr>
      <w:r w:rsidRPr="002740FD">
        <w:rPr>
          <w:color w:val="1D2126"/>
          <w:spacing w:val="7"/>
        </w:rPr>
        <w:lastRenderedPageBreak/>
        <w:t>1. </w:t>
      </w:r>
      <w:r w:rsidR="00F1525B" w:rsidRPr="002740FD">
        <w:rPr>
          <w:b/>
          <w:color w:val="1D2126"/>
          <w:spacing w:val="7"/>
        </w:rPr>
        <w:t xml:space="preserve">Индекс Лернера </w:t>
      </w:r>
      <w:r w:rsidRPr="002740FD">
        <w:rPr>
          <w:color w:val="1D2126"/>
          <w:spacing w:val="7"/>
        </w:rPr>
        <w:t>показывает относительное превышение цены (P) над предельными издержками (MC). Индекс равен нулю в ситуации наиболее сильной ценовой конкуренции и приближается к единице в ситуации существенной монополизации рынка. Индекс Лернера также обратно пропорционален эластичности спроса (</w:t>
      </w:r>
      <w:proofErr w:type="spellStart"/>
      <w:r w:rsidRPr="002740FD">
        <w:rPr>
          <w:rStyle w:val="mord"/>
          <w:i/>
          <w:iCs/>
          <w:color w:val="1D2126"/>
          <w:spacing w:val="7"/>
          <w:bdr w:val="none" w:sz="0" w:space="0" w:color="auto" w:frame="1"/>
        </w:rPr>
        <w:t>Ed</w:t>
      </w:r>
      <w:proofErr w:type="spellEnd"/>
      <w:r w:rsidRPr="002740FD">
        <w:rPr>
          <w:rStyle w:val="vlist-s"/>
          <w:color w:val="1D2126"/>
          <w:spacing w:val="7"/>
          <w:bdr w:val="none" w:sz="0" w:space="0" w:color="auto" w:frame="1"/>
        </w:rPr>
        <w:t>​</w:t>
      </w:r>
      <w:r w:rsidRPr="002740FD">
        <w:rPr>
          <w:color w:val="1D2126"/>
          <w:spacing w:val="7"/>
        </w:rPr>
        <w:t>):</w:t>
      </w:r>
    </w:p>
    <w:p w:rsidR="00755CE6" w:rsidRPr="002740FD" w:rsidRDefault="00755CE6" w:rsidP="002740FD">
      <w:pPr>
        <w:pStyle w:val="a3"/>
        <w:shd w:val="clear" w:color="auto" w:fill="FFFFFF"/>
        <w:spacing w:before="0" w:after="0" w:line="360" w:lineRule="auto"/>
        <w:rPr>
          <w:color w:val="1D2126"/>
          <w:spacing w:val="7"/>
        </w:rPr>
      </w:pPr>
      <w:r w:rsidRPr="002740FD">
        <w:rPr>
          <w:rStyle w:val="mord"/>
          <w:i/>
          <w:iCs/>
          <w:color w:val="1D2126"/>
          <w:spacing w:val="7"/>
          <w:bdr w:val="none" w:sz="0" w:space="0" w:color="auto" w:frame="1"/>
        </w:rPr>
        <w:t>L</w:t>
      </w:r>
      <w:r w:rsidRPr="002740FD">
        <w:rPr>
          <w:rStyle w:val="mrel"/>
          <w:color w:val="1D2126"/>
          <w:spacing w:val="7"/>
          <w:bdr w:val="none" w:sz="0" w:space="0" w:color="auto" w:frame="1"/>
        </w:rPr>
        <w:t>=</w:t>
      </w:r>
      <w:r w:rsidRPr="002740FD">
        <w:rPr>
          <w:rStyle w:val="mord"/>
          <w:i/>
          <w:iCs/>
          <w:color w:val="1D2126"/>
          <w:spacing w:val="7"/>
          <w:bdr w:val="none" w:sz="0" w:space="0" w:color="auto" w:frame="1"/>
        </w:rPr>
        <w:t>PP</w:t>
      </w:r>
      <w:r w:rsidRPr="002740FD">
        <w:rPr>
          <w:rStyle w:val="mbin"/>
          <w:color w:val="1D2126"/>
          <w:spacing w:val="7"/>
          <w:bdr w:val="none" w:sz="0" w:space="0" w:color="auto" w:frame="1"/>
        </w:rPr>
        <w:t>−</w:t>
      </w:r>
      <w:r w:rsidRPr="002740FD">
        <w:rPr>
          <w:rStyle w:val="mord"/>
          <w:i/>
          <w:iCs/>
          <w:color w:val="1D2126"/>
          <w:spacing w:val="7"/>
          <w:bdr w:val="none" w:sz="0" w:space="0" w:color="auto" w:frame="1"/>
        </w:rPr>
        <w:t>MC</w:t>
      </w:r>
      <w:r w:rsidRPr="002740FD">
        <w:rPr>
          <w:rStyle w:val="vlist-s"/>
          <w:color w:val="1D2126"/>
          <w:spacing w:val="7"/>
          <w:bdr w:val="none" w:sz="0" w:space="0" w:color="auto" w:frame="1"/>
        </w:rPr>
        <w:t>​</w:t>
      </w:r>
      <w:r w:rsidRPr="002740FD">
        <w:rPr>
          <w:rStyle w:val="mrel"/>
          <w:color w:val="1D2126"/>
          <w:spacing w:val="7"/>
          <w:bdr w:val="none" w:sz="0" w:space="0" w:color="auto" w:frame="1"/>
        </w:rPr>
        <w:t>=</w:t>
      </w:r>
      <w:r w:rsidRPr="002740FD">
        <w:rPr>
          <w:rStyle w:val="mord"/>
          <w:color w:val="1D2126"/>
          <w:spacing w:val="7"/>
          <w:bdr w:val="none" w:sz="0" w:space="0" w:color="auto" w:frame="1"/>
        </w:rPr>
        <w:t>−</w:t>
      </w:r>
      <w:proofErr w:type="spellStart"/>
      <w:r w:rsidRPr="002740FD">
        <w:rPr>
          <w:rStyle w:val="mord"/>
          <w:i/>
          <w:iCs/>
          <w:color w:val="1D2126"/>
          <w:spacing w:val="7"/>
          <w:bdr w:val="none" w:sz="0" w:space="0" w:color="auto" w:frame="1"/>
        </w:rPr>
        <w:t>Ed</w:t>
      </w:r>
      <w:proofErr w:type="spellEnd"/>
      <w:r w:rsidRPr="002740FD">
        <w:rPr>
          <w:rStyle w:val="vlist-s"/>
          <w:color w:val="1D2126"/>
          <w:spacing w:val="7"/>
          <w:bdr w:val="none" w:sz="0" w:space="0" w:color="auto" w:frame="1"/>
        </w:rPr>
        <w:t>​</w:t>
      </w:r>
      <w:r w:rsidRPr="002740FD">
        <w:rPr>
          <w:rStyle w:val="mord"/>
          <w:color w:val="1D2126"/>
          <w:spacing w:val="7"/>
          <w:bdr w:val="none" w:sz="0" w:space="0" w:color="auto" w:frame="1"/>
        </w:rPr>
        <w:t>1</w:t>
      </w:r>
      <w:r w:rsidRPr="002740FD">
        <w:rPr>
          <w:rStyle w:val="vlist-s"/>
          <w:color w:val="1D2126"/>
          <w:spacing w:val="7"/>
          <w:bdr w:val="none" w:sz="0" w:space="0" w:color="auto" w:frame="1"/>
        </w:rPr>
        <w:t>​</w:t>
      </w:r>
      <w:r w:rsidRPr="002740FD">
        <w:rPr>
          <w:color w:val="1D2126"/>
          <w:spacing w:val="7"/>
        </w:rPr>
        <w:t>.</w:t>
      </w:r>
    </w:p>
    <w:p w:rsidR="00755CE6" w:rsidRPr="002740FD" w:rsidRDefault="00755CE6" w:rsidP="002740FD">
      <w:pPr>
        <w:pStyle w:val="a3"/>
        <w:shd w:val="clear" w:color="auto" w:fill="FFFFFF"/>
        <w:spacing w:before="0" w:after="0" w:line="360" w:lineRule="auto"/>
        <w:rPr>
          <w:color w:val="1D2126"/>
          <w:spacing w:val="7"/>
        </w:rPr>
      </w:pPr>
      <w:r w:rsidRPr="002740FD">
        <w:rPr>
          <w:color w:val="1D2126"/>
          <w:spacing w:val="7"/>
        </w:rPr>
        <w:t>2. </w:t>
      </w:r>
      <w:r w:rsidR="00F1525B" w:rsidRPr="002740FD">
        <w:rPr>
          <w:b/>
          <w:color w:val="1D2126"/>
          <w:spacing w:val="7"/>
        </w:rPr>
        <w:t xml:space="preserve">Коэффициент </w:t>
      </w:r>
      <w:proofErr w:type="spellStart"/>
      <w:r w:rsidR="00F1525B" w:rsidRPr="002740FD">
        <w:rPr>
          <w:b/>
          <w:color w:val="1D2126"/>
          <w:spacing w:val="7"/>
        </w:rPr>
        <w:t>Бейна</w:t>
      </w:r>
      <w:proofErr w:type="spellEnd"/>
      <w:r w:rsidR="00F1525B" w:rsidRPr="002740FD">
        <w:rPr>
          <w:b/>
          <w:color w:val="1D2126"/>
          <w:spacing w:val="7"/>
        </w:rPr>
        <w:t>.</w:t>
      </w:r>
      <w:r w:rsidRPr="002740FD">
        <w:rPr>
          <w:color w:val="1D2126"/>
          <w:spacing w:val="7"/>
        </w:rPr>
        <w:t xml:space="preserve"> Рассчитывается как разница между </w:t>
      </w:r>
      <w:r w:rsidR="00F1525B" w:rsidRPr="002740FD">
        <w:rPr>
          <w:color w:val="1D2126"/>
          <w:spacing w:val="7"/>
        </w:rPr>
        <w:t>бухгалтерской</w:t>
      </w:r>
      <w:r w:rsidRPr="002740FD">
        <w:rPr>
          <w:color w:val="1D2126"/>
          <w:spacing w:val="7"/>
        </w:rPr>
        <w:t> и </w:t>
      </w:r>
      <w:r w:rsidR="00F1525B" w:rsidRPr="002740FD">
        <w:rPr>
          <w:color w:val="1D2126"/>
          <w:spacing w:val="7"/>
        </w:rPr>
        <w:t xml:space="preserve">нормальной </w:t>
      </w:r>
      <w:r w:rsidRPr="002740FD">
        <w:rPr>
          <w:color w:val="1D2126"/>
          <w:spacing w:val="7"/>
        </w:rPr>
        <w:t>прибылью, делённая на размер </w:t>
      </w:r>
      <w:r w:rsidR="00F1525B" w:rsidRPr="002740FD">
        <w:rPr>
          <w:color w:val="1D2126"/>
          <w:spacing w:val="7"/>
        </w:rPr>
        <w:t>собственного капитала</w:t>
      </w:r>
      <w:r w:rsidRPr="002740FD">
        <w:rPr>
          <w:color w:val="1D2126"/>
          <w:spacing w:val="7"/>
        </w:rPr>
        <w:t>. При оценке нормальной прибыли принимаются во внимание альтернативные инвестиции, возможный заработок в других секторах при таком же уровне риска. В ситуации наиболее сильной конкуренции при свободном входе фирм эта разница, а соответственно и индекс, должна приближаться к нулю.</w:t>
      </w:r>
    </w:p>
    <w:p w:rsidR="00755CE6" w:rsidRPr="002740FD" w:rsidRDefault="00755CE6" w:rsidP="002740FD">
      <w:pPr>
        <w:pStyle w:val="a3"/>
        <w:shd w:val="clear" w:color="auto" w:fill="FFFFFF"/>
        <w:spacing w:before="0" w:after="0" w:line="360" w:lineRule="auto"/>
        <w:rPr>
          <w:color w:val="1D2126"/>
          <w:spacing w:val="7"/>
        </w:rPr>
      </w:pPr>
      <w:r w:rsidRPr="002740FD">
        <w:rPr>
          <w:color w:val="1D2126"/>
          <w:spacing w:val="7"/>
        </w:rPr>
        <w:t>3. </w:t>
      </w:r>
      <w:r w:rsidR="00F1525B" w:rsidRPr="002740FD">
        <w:rPr>
          <w:b/>
          <w:color w:val="1D2126"/>
          <w:spacing w:val="7"/>
        </w:rPr>
        <w:t xml:space="preserve">Коэффициент </w:t>
      </w:r>
      <w:proofErr w:type="spellStart"/>
      <w:r w:rsidR="00F1525B" w:rsidRPr="002740FD">
        <w:rPr>
          <w:b/>
          <w:color w:val="1D2126"/>
          <w:spacing w:val="7"/>
        </w:rPr>
        <w:t>Тобина</w:t>
      </w:r>
      <w:proofErr w:type="spellEnd"/>
      <w:r w:rsidRPr="002740FD">
        <w:rPr>
          <w:b/>
          <w:color w:val="1D2126"/>
          <w:spacing w:val="7"/>
        </w:rPr>
        <w:t>, или q-коэффициент.</w:t>
      </w:r>
      <w:r w:rsidRPr="002740FD">
        <w:rPr>
          <w:color w:val="1D2126"/>
          <w:spacing w:val="7"/>
        </w:rPr>
        <w:t xml:space="preserve"> Коэффициент оценивается как отношение рыночной </w:t>
      </w:r>
      <w:r w:rsidR="00F1525B" w:rsidRPr="002740FD">
        <w:rPr>
          <w:color w:val="1D2126"/>
          <w:spacing w:val="7"/>
        </w:rPr>
        <w:t xml:space="preserve">стоимости фирмы </w:t>
      </w:r>
      <w:r w:rsidRPr="002740FD">
        <w:rPr>
          <w:color w:val="1D2126"/>
          <w:spacing w:val="7"/>
        </w:rPr>
        <w:t> к </w:t>
      </w:r>
      <w:r w:rsidR="00F1525B" w:rsidRPr="002740FD">
        <w:rPr>
          <w:color w:val="1D2126"/>
          <w:spacing w:val="7"/>
        </w:rPr>
        <w:t xml:space="preserve">восстановительной стоимости </w:t>
      </w:r>
      <w:r w:rsidRPr="002740FD">
        <w:rPr>
          <w:color w:val="1D2126"/>
          <w:spacing w:val="7"/>
        </w:rPr>
        <w:t> (сумма, за которую возможно приобрести </w:t>
      </w:r>
      <w:r w:rsidR="00F1525B" w:rsidRPr="002740FD">
        <w:rPr>
          <w:color w:val="1D2126"/>
          <w:spacing w:val="7"/>
        </w:rPr>
        <w:t>активы</w:t>
      </w:r>
      <w:r w:rsidRPr="002740FD">
        <w:rPr>
          <w:color w:val="1D2126"/>
          <w:spacing w:val="7"/>
        </w:rPr>
        <w:t> фирмы). Гипотеза заключается в том, что при эффективном</w:t>
      </w:r>
      <w:r w:rsidR="00F1525B" w:rsidRPr="002740FD">
        <w:rPr>
          <w:color w:val="1D2126"/>
          <w:spacing w:val="7"/>
        </w:rPr>
        <w:t xml:space="preserve"> финансовом рынке,</w:t>
      </w:r>
      <w:r w:rsidRPr="002740FD">
        <w:rPr>
          <w:color w:val="1D2126"/>
          <w:spacing w:val="7"/>
        </w:rPr>
        <w:t> коэффициент не должен превышать единицу, а её превышение свидетельствует о получении дополнительной экономической прибыли, т. е. о рыночной власти фирм.</w:t>
      </w:r>
    </w:p>
    <w:p w:rsidR="00F507DC" w:rsidRPr="002740FD" w:rsidRDefault="00964F72" w:rsidP="002740FD">
      <w:pPr>
        <w:pStyle w:val="a3"/>
        <w:shd w:val="clear" w:color="auto" w:fill="FFFFFF"/>
        <w:spacing w:before="0" w:after="0" w:line="360" w:lineRule="auto"/>
        <w:rPr>
          <w:color w:val="1D2126"/>
          <w:spacing w:val="7"/>
        </w:rPr>
      </w:pPr>
      <w:r w:rsidRPr="002740FD">
        <w:rPr>
          <w:color w:val="1D2126"/>
          <w:spacing w:val="7"/>
        </w:rPr>
        <w:t>Таблица 2</w:t>
      </w:r>
      <w:r w:rsidR="00F507DC" w:rsidRPr="002740FD">
        <w:rPr>
          <w:color w:val="1D2126"/>
          <w:spacing w:val="7"/>
        </w:rPr>
        <w:t>. Результаты расчета Индекса Левнера по отраслям.</w:t>
      </w:r>
    </w:p>
    <w:tbl>
      <w:tblPr>
        <w:tblW w:w="65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420"/>
        <w:gridCol w:w="2160"/>
      </w:tblGrid>
      <w:tr w:rsidR="00627AAE" w:rsidRPr="00627AAE" w:rsidTr="00627AAE">
        <w:trPr>
          <w:trHeight w:val="1320"/>
        </w:trPr>
        <w:tc>
          <w:tcPr>
            <w:tcW w:w="442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7AAE" w:rsidRPr="00627AAE" w:rsidRDefault="00627AAE" w:rsidP="002740FD">
            <w:pPr>
              <w:spacing w:before="86"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AAE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Некоторые результаты 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7AAE" w:rsidRPr="00627AAE" w:rsidRDefault="00F507DC" w:rsidP="002740FD">
            <w:pPr>
              <w:spacing w:before="86"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0FD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Индекс Лернера</w:t>
            </w:r>
          </w:p>
        </w:tc>
      </w:tr>
      <w:tr w:rsidR="00627AAE" w:rsidRPr="00627AAE" w:rsidTr="00627AAE">
        <w:trPr>
          <w:trHeight w:val="848"/>
        </w:trPr>
        <w:tc>
          <w:tcPr>
            <w:tcW w:w="44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7AAE" w:rsidRPr="00627AAE" w:rsidRDefault="00627AAE" w:rsidP="002740FD">
            <w:pPr>
              <w:spacing w:before="86"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A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Автомобили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7AAE" w:rsidRPr="00627AAE" w:rsidRDefault="00627AAE" w:rsidP="002740FD">
            <w:pPr>
              <w:spacing w:before="86"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A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0.1 – 0.340</w:t>
            </w:r>
          </w:p>
        </w:tc>
      </w:tr>
      <w:tr w:rsidR="00627AAE" w:rsidRPr="00627AAE" w:rsidTr="00627AAE">
        <w:trPr>
          <w:trHeight w:val="773"/>
        </w:trPr>
        <w:tc>
          <w:tcPr>
            <w:tcW w:w="44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7AAE" w:rsidRPr="00627AAE" w:rsidRDefault="00627AAE" w:rsidP="002740FD">
            <w:pPr>
              <w:spacing w:before="86"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A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Безалкогольные напитки (К-К/П-К)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7AAE" w:rsidRPr="00627AAE" w:rsidRDefault="00627AAE" w:rsidP="002740FD">
            <w:pPr>
              <w:spacing w:before="86"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A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0.640/</w:t>
            </w:r>
          </w:p>
          <w:p w:rsidR="00627AAE" w:rsidRPr="00627AAE" w:rsidRDefault="00627AAE" w:rsidP="002740FD">
            <w:pPr>
              <w:spacing w:before="86"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A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0.560</w:t>
            </w:r>
          </w:p>
        </w:tc>
      </w:tr>
      <w:tr w:rsidR="00627AAE" w:rsidRPr="00627AAE" w:rsidTr="00627AAE">
        <w:trPr>
          <w:trHeight w:val="770"/>
        </w:trPr>
        <w:tc>
          <w:tcPr>
            <w:tcW w:w="44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7AAE" w:rsidRPr="00627AAE" w:rsidRDefault="00627AAE" w:rsidP="002740FD">
            <w:pPr>
              <w:spacing w:before="86"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A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Текстиль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7AAE" w:rsidRPr="00627AAE" w:rsidRDefault="00627AAE" w:rsidP="002740FD">
            <w:pPr>
              <w:spacing w:before="86"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A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0.072</w:t>
            </w:r>
          </w:p>
        </w:tc>
      </w:tr>
      <w:tr w:rsidR="00627AAE" w:rsidRPr="00627AAE" w:rsidTr="00627AAE">
        <w:trPr>
          <w:trHeight w:val="775"/>
        </w:trPr>
        <w:tc>
          <w:tcPr>
            <w:tcW w:w="44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7AAE" w:rsidRPr="00627AAE" w:rsidRDefault="00627AAE" w:rsidP="002740FD">
            <w:pPr>
              <w:spacing w:before="86"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A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Электрическое машиностроение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7AAE" w:rsidRPr="00627AAE" w:rsidRDefault="00627AAE" w:rsidP="002740FD">
            <w:pPr>
              <w:spacing w:before="86"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A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0.198</w:t>
            </w:r>
          </w:p>
        </w:tc>
      </w:tr>
      <w:tr w:rsidR="00627AAE" w:rsidRPr="00627AAE" w:rsidTr="00627AAE">
        <w:trPr>
          <w:trHeight w:val="773"/>
        </w:trPr>
        <w:tc>
          <w:tcPr>
            <w:tcW w:w="44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7AAE" w:rsidRPr="00627AAE" w:rsidRDefault="00627AAE" w:rsidP="002740FD">
            <w:pPr>
              <w:spacing w:before="86"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A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Табак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7AAE" w:rsidRPr="00627AAE" w:rsidRDefault="00627AAE" w:rsidP="002740FD">
            <w:pPr>
              <w:spacing w:before="86"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A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0.648</w:t>
            </w:r>
          </w:p>
        </w:tc>
      </w:tr>
      <w:tr w:rsidR="00627AAE" w:rsidRPr="00627AAE" w:rsidTr="00627AAE">
        <w:trPr>
          <w:trHeight w:val="773"/>
        </w:trPr>
        <w:tc>
          <w:tcPr>
            <w:tcW w:w="442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7AAE" w:rsidRPr="00627AAE" w:rsidRDefault="00627AAE" w:rsidP="002740FD">
            <w:pPr>
              <w:spacing w:before="86"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A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Розничные продажи бензина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7AAE" w:rsidRPr="00627AAE" w:rsidRDefault="00627AAE" w:rsidP="002740FD">
            <w:pPr>
              <w:spacing w:before="86"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AA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0.100</w:t>
            </w:r>
          </w:p>
        </w:tc>
      </w:tr>
    </w:tbl>
    <w:p w:rsidR="00F342DF" w:rsidRPr="00F342DF" w:rsidRDefault="00F342DF" w:rsidP="00F342DF">
      <w:pPr>
        <w:pStyle w:val="a3"/>
        <w:shd w:val="clear" w:color="auto" w:fill="FFFFFF"/>
        <w:spacing w:before="0" w:after="0" w:line="360" w:lineRule="auto"/>
        <w:rPr>
          <w:b/>
          <w:sz w:val="28"/>
          <w:szCs w:val="28"/>
        </w:rPr>
      </w:pPr>
      <w:r>
        <w:rPr>
          <w:b/>
          <w:color w:val="343A40"/>
          <w:sz w:val="28"/>
          <w:szCs w:val="28"/>
          <w:shd w:val="clear" w:color="auto" w:fill="F8F9FA"/>
        </w:rPr>
        <w:t>7.</w:t>
      </w:r>
      <w:r w:rsidRPr="00F342DF">
        <w:rPr>
          <w:b/>
          <w:color w:val="343A40"/>
          <w:sz w:val="28"/>
          <w:szCs w:val="28"/>
          <w:shd w:val="clear" w:color="auto" w:fill="F8F9FA"/>
        </w:rPr>
        <w:t> Барьеры входа в отрасль и выхода из нее (с расчетом</w:t>
      </w:r>
      <w:r>
        <w:rPr>
          <w:b/>
          <w:color w:val="343A40"/>
          <w:sz w:val="28"/>
          <w:szCs w:val="28"/>
          <w:shd w:val="clear" w:color="auto" w:fill="F8F9FA"/>
        </w:rPr>
        <w:t xml:space="preserve"> </w:t>
      </w:r>
      <w:r w:rsidRPr="00F342DF">
        <w:rPr>
          <w:b/>
          <w:color w:val="343A40"/>
          <w:sz w:val="28"/>
          <w:szCs w:val="28"/>
          <w:shd w:val="clear" w:color="auto" w:fill="F8F9FA"/>
        </w:rPr>
        <w:t>показателей).</w:t>
      </w:r>
    </w:p>
    <w:p w:rsidR="00F541CF" w:rsidRDefault="00DD15DC" w:rsidP="00F342DF">
      <w:pPr>
        <w:pStyle w:val="a3"/>
        <w:shd w:val="clear" w:color="auto" w:fill="FFFFFF"/>
        <w:spacing w:before="0" w:after="0" w:line="360" w:lineRule="auto"/>
      </w:pPr>
      <w:r>
        <w:t xml:space="preserve">Статистическими показателями, отражающими </w:t>
      </w:r>
      <w:r w:rsidR="00F342DF">
        <w:t>уровень входных и выходных барьеров,</w:t>
      </w:r>
      <w:r>
        <w:t xml:space="preserve"> могут быть следующие индикаторы. </w:t>
      </w:r>
    </w:p>
    <w:p w:rsidR="00F541CF" w:rsidRPr="00F541CF" w:rsidRDefault="00F342DF" w:rsidP="002740FD">
      <w:pPr>
        <w:pStyle w:val="a3"/>
        <w:shd w:val="clear" w:color="auto" w:fill="FFFFFF"/>
        <w:spacing w:before="0" w:after="0" w:line="360" w:lineRule="auto"/>
        <w:rPr>
          <w:b/>
        </w:rPr>
      </w:pPr>
      <w:r>
        <w:rPr>
          <w:b/>
        </w:rPr>
        <w:t>1</w:t>
      </w:r>
      <w:r w:rsidR="00F541CF">
        <w:rPr>
          <w:b/>
        </w:rPr>
        <w:t>. Н</w:t>
      </w:r>
      <w:r w:rsidR="00DD15DC" w:rsidRPr="00F541CF">
        <w:rPr>
          <w:b/>
        </w:rPr>
        <w:t xml:space="preserve">орма входа фирм на отраслевой рынок. </w:t>
      </w:r>
    </w:p>
    <w:p w:rsidR="00F541CF" w:rsidRDefault="00DD15DC" w:rsidP="002740FD">
      <w:pPr>
        <w:pStyle w:val="a3"/>
        <w:shd w:val="clear" w:color="auto" w:fill="FFFFFF"/>
        <w:spacing w:before="0" w:after="0" w:line="360" w:lineRule="auto"/>
      </w:pPr>
      <w:r>
        <w:t>Он рассчитывается в виде отношения числа вошедши</w:t>
      </w:r>
      <w:r w:rsidR="00F541CF">
        <w:t xml:space="preserve">х за год на рынок новых фирм </w:t>
      </w:r>
      <w:r>
        <w:t xml:space="preserve"> к общему числу фирм (МВ+Д), действующих в отрасли на конец года, т.е. </w:t>
      </w:r>
    </w:p>
    <w:p w:rsidR="00F541CF" w:rsidRPr="00F541CF" w:rsidRDefault="00DD15DC" w:rsidP="002740FD">
      <w:pPr>
        <w:pStyle w:val="a3"/>
        <w:shd w:val="clear" w:color="auto" w:fill="FFFFFF"/>
        <w:spacing w:before="0" w:after="0" w:line="360" w:lineRule="auto"/>
        <w:rPr>
          <w:b/>
        </w:rPr>
      </w:pPr>
      <w:r w:rsidRPr="00F541CF">
        <w:rPr>
          <w:b/>
        </w:rPr>
        <w:t xml:space="preserve">Норма входа = количество вошедших новых фирм × 100% </w:t>
      </w:r>
      <w:r w:rsidR="00F541CF" w:rsidRPr="00F541CF">
        <w:rPr>
          <w:b/>
        </w:rPr>
        <w:t xml:space="preserve">/ </w:t>
      </w:r>
      <w:r w:rsidRPr="00F541CF">
        <w:rPr>
          <w:b/>
        </w:rPr>
        <w:t>общее число фирм (старые и новые)</w:t>
      </w:r>
      <w:r w:rsidR="00F541CF" w:rsidRPr="00F541CF">
        <w:rPr>
          <w:b/>
        </w:rPr>
        <w:t>.</w:t>
      </w:r>
      <w:r w:rsidRPr="00F541CF">
        <w:rPr>
          <w:b/>
        </w:rPr>
        <w:t xml:space="preserve"> </w:t>
      </w:r>
    </w:p>
    <w:p w:rsidR="00F541CF" w:rsidRDefault="00F541CF" w:rsidP="002740FD">
      <w:pPr>
        <w:pStyle w:val="a3"/>
        <w:shd w:val="clear" w:color="auto" w:fill="FFFFFF"/>
        <w:spacing w:before="0" w:after="0" w:line="360" w:lineRule="auto"/>
      </w:pPr>
      <w:r>
        <w:t>2.</w:t>
      </w:r>
      <w:r w:rsidR="00DD15DC">
        <w:t xml:space="preserve">Другой индикатор – </w:t>
      </w:r>
      <w:r w:rsidR="00DD15DC" w:rsidRPr="00F541CF">
        <w:rPr>
          <w:b/>
        </w:rPr>
        <w:t>норма проникновения новых фирм на действующий рынок</w:t>
      </w:r>
      <w:r w:rsidR="00DD15DC">
        <w:t>, исчисляемая как отношение объема выпуска (или продаж) (QВ), вошедших на рынок фирм к общему объему выпуска (QВ+Д) продукции в отрасли (</w:t>
      </w:r>
      <w:r>
        <w:t>новыми и старыми фирмами).</w:t>
      </w:r>
    </w:p>
    <w:p w:rsidR="00F541CF" w:rsidRPr="00F541CF" w:rsidRDefault="00DD15DC" w:rsidP="002740FD">
      <w:pPr>
        <w:pStyle w:val="a3"/>
        <w:shd w:val="clear" w:color="auto" w:fill="FFFFFF"/>
        <w:spacing w:before="0" w:after="0" w:line="360" w:lineRule="auto"/>
        <w:rPr>
          <w:b/>
        </w:rPr>
      </w:pPr>
      <w:r w:rsidRPr="00F541CF">
        <w:rPr>
          <w:b/>
        </w:rPr>
        <w:t xml:space="preserve">Норма проникновения = объем выпуска вошедших фирм × 100% </w:t>
      </w:r>
      <w:r w:rsidR="00F541CF" w:rsidRPr="00F541CF">
        <w:rPr>
          <w:b/>
        </w:rPr>
        <w:t>/</w:t>
      </w:r>
      <w:r w:rsidRPr="00F541CF">
        <w:rPr>
          <w:b/>
        </w:rPr>
        <w:t>отраслевой выпуск (старые и новые</w:t>
      </w:r>
      <w:proofErr w:type="gramStart"/>
      <w:r w:rsidRPr="00F541CF">
        <w:rPr>
          <w:b/>
        </w:rPr>
        <w:t xml:space="preserve">) </w:t>
      </w:r>
      <w:r w:rsidR="00F541CF" w:rsidRPr="00F541CF">
        <w:rPr>
          <w:b/>
        </w:rPr>
        <w:t>.</w:t>
      </w:r>
      <w:proofErr w:type="gramEnd"/>
    </w:p>
    <w:p w:rsidR="00F541CF" w:rsidRDefault="00F541CF" w:rsidP="002740FD">
      <w:pPr>
        <w:pStyle w:val="a3"/>
        <w:shd w:val="clear" w:color="auto" w:fill="FFFFFF"/>
        <w:spacing w:before="0" w:after="0" w:line="360" w:lineRule="auto"/>
      </w:pPr>
      <w:r>
        <w:t xml:space="preserve">3. </w:t>
      </w:r>
      <w:r w:rsidR="00DD15DC">
        <w:t xml:space="preserve">Что касается показателей уровня выходных барьеров, то наиболее распространенный из них </w:t>
      </w:r>
      <w:r w:rsidR="00DD15DC" w:rsidRPr="00F541CF">
        <w:rPr>
          <w:b/>
        </w:rPr>
        <w:t>– норма выхода,</w:t>
      </w:r>
      <w:r w:rsidR="00DD15DC">
        <w:t xml:space="preserve"> рассчитываемая как отношение ушедших с рынка фирм (МУ) к общему числу действующих на нем фирм (МД), т.е. </w:t>
      </w:r>
    </w:p>
    <w:p w:rsidR="00F541CF" w:rsidRPr="00F541CF" w:rsidRDefault="00DD15DC" w:rsidP="002740FD">
      <w:pPr>
        <w:pStyle w:val="a3"/>
        <w:shd w:val="clear" w:color="auto" w:fill="FFFFFF"/>
        <w:spacing w:before="0" w:after="0" w:line="360" w:lineRule="auto"/>
        <w:rPr>
          <w:b/>
        </w:rPr>
      </w:pPr>
      <w:r w:rsidRPr="00F541CF">
        <w:rPr>
          <w:b/>
        </w:rPr>
        <w:t xml:space="preserve">Норма выхода = количество вышедших фирм × количество оставшихся 100% фирм </w:t>
      </w:r>
    </w:p>
    <w:p w:rsidR="00F541CF" w:rsidRDefault="00F541CF" w:rsidP="002740FD">
      <w:pPr>
        <w:pStyle w:val="a3"/>
        <w:shd w:val="clear" w:color="auto" w:fill="FFFFFF"/>
        <w:spacing w:before="0" w:after="0" w:line="360" w:lineRule="auto"/>
      </w:pPr>
      <w:r>
        <w:t xml:space="preserve">4. </w:t>
      </w:r>
      <w:r w:rsidR="00DD15DC">
        <w:t xml:space="preserve">Иногда используется также </w:t>
      </w:r>
      <w:r w:rsidR="00DD15DC" w:rsidRPr="00F541CF">
        <w:rPr>
          <w:b/>
        </w:rPr>
        <w:t>показатель выживания фирм на отраслевом рынке</w:t>
      </w:r>
      <w:r w:rsidR="00DD15DC">
        <w:t xml:space="preserve"> в виде доли тех оставшихся на нем фирм, которые вошли на него один, два, три года назад. </w:t>
      </w:r>
      <w:r w:rsidR="00DD15DC">
        <w:lastRenderedPageBreak/>
        <w:t>Соответствующую оценку дают на основании анализа банкротств, слияний и поглощений фирм, относительн</w:t>
      </w:r>
      <w:r>
        <w:t>о недавно вошедших на рынок.</w:t>
      </w:r>
    </w:p>
    <w:p w:rsidR="00F541CF" w:rsidRPr="004A4499" w:rsidRDefault="00DD15DC" w:rsidP="002740FD">
      <w:pPr>
        <w:pStyle w:val="a3"/>
        <w:shd w:val="clear" w:color="auto" w:fill="FFFFFF"/>
        <w:spacing w:before="0" w:after="0" w:line="360" w:lineRule="auto"/>
      </w:pPr>
      <w:r w:rsidRPr="004A4499">
        <w:t xml:space="preserve"> Процент выживаемости = количество вошедших фирм 100%</w:t>
      </w:r>
      <w:r w:rsidR="00F541CF" w:rsidRPr="004A4499">
        <w:t xml:space="preserve"> /</w:t>
      </w:r>
      <w:r w:rsidRPr="004A4499">
        <w:t xml:space="preserve"> количество оставшихся фирм</w:t>
      </w:r>
      <w:r w:rsidR="00F541CF" w:rsidRPr="004A4499">
        <w:t>.</w:t>
      </w:r>
    </w:p>
    <w:p w:rsidR="00F541CF" w:rsidRDefault="00F541CF" w:rsidP="002740FD">
      <w:pPr>
        <w:pStyle w:val="a3"/>
        <w:shd w:val="clear" w:color="auto" w:fill="FFFFFF"/>
        <w:spacing w:before="0" w:after="0" w:line="360" w:lineRule="auto"/>
      </w:pPr>
      <w:r w:rsidRPr="004A4499">
        <w:t>В данном вопросе студент описывает основные барьеры входа и выхода с рынка, который он выбрал для изучения и рассчитывает один из предложенных показателей на выбор и комментирует полученный результат с</w:t>
      </w:r>
      <w:r w:rsidR="004A4499" w:rsidRPr="004A4499">
        <w:t xml:space="preserve"> точ</w:t>
      </w:r>
      <w:r w:rsidRPr="004A4499">
        <w:t>ки зрения влияния на возможности развития рынка</w:t>
      </w:r>
      <w:r w:rsidR="004A4499" w:rsidRPr="004A4499">
        <w:t xml:space="preserve"> и положения фирм в нем. </w:t>
      </w:r>
    </w:p>
    <w:p w:rsidR="00F342DF" w:rsidRDefault="00F342DF" w:rsidP="002740FD">
      <w:pPr>
        <w:pStyle w:val="a3"/>
        <w:shd w:val="clear" w:color="auto" w:fill="FFFFFF"/>
        <w:spacing w:before="0" w:after="0" w:line="360" w:lineRule="auto"/>
        <w:rPr>
          <w:b/>
          <w:color w:val="343A40"/>
          <w:sz w:val="28"/>
          <w:szCs w:val="28"/>
          <w:shd w:val="clear" w:color="auto" w:fill="F8F9FA"/>
        </w:rPr>
      </w:pPr>
      <w:r w:rsidRPr="00F342DF">
        <w:rPr>
          <w:b/>
          <w:sz w:val="28"/>
          <w:szCs w:val="28"/>
        </w:rPr>
        <w:t xml:space="preserve">8. </w:t>
      </w:r>
      <w:r w:rsidRPr="00F342DF">
        <w:rPr>
          <w:b/>
          <w:color w:val="343A40"/>
          <w:sz w:val="28"/>
          <w:szCs w:val="28"/>
          <w:shd w:val="clear" w:color="auto" w:fill="F8F9FA"/>
        </w:rPr>
        <w:t>Слияния и поглощения в отрасли (вертикальная и горизонтальная интеграция).</w:t>
      </w:r>
    </w:p>
    <w:p w:rsidR="00F342DF" w:rsidRDefault="005E4958" w:rsidP="002740FD">
      <w:pPr>
        <w:pStyle w:val="a3"/>
        <w:shd w:val="clear" w:color="auto" w:fill="FFFFFF"/>
        <w:spacing w:before="0" w:after="0" w:line="360" w:lineRule="auto"/>
        <w:rPr>
          <w:b/>
          <w:color w:val="343A40"/>
          <w:sz w:val="28"/>
          <w:szCs w:val="28"/>
          <w:shd w:val="clear" w:color="auto" w:fill="F8F9FA"/>
        </w:rPr>
      </w:pPr>
      <w:r>
        <w:rPr>
          <w:b/>
          <w:color w:val="343A40"/>
          <w:sz w:val="28"/>
          <w:szCs w:val="28"/>
          <w:shd w:val="clear" w:color="auto" w:fill="F8F9FA"/>
        </w:rPr>
        <w:t xml:space="preserve">Студент описывает примеры слияний и поглощений в данной отрасли за последние 5 лет и обосновывает насколько данная отрасль подвержена таким процессам и влиянием каких факторов это можно объяснить. </w:t>
      </w:r>
    </w:p>
    <w:p w:rsidR="005E4958" w:rsidRDefault="005E4958" w:rsidP="005E4958">
      <w:pPr>
        <w:pStyle w:val="a3"/>
        <w:shd w:val="clear" w:color="auto" w:fill="FFFFFF"/>
        <w:spacing w:before="0" w:after="0" w:line="360" w:lineRule="auto"/>
        <w:jc w:val="both"/>
        <w:rPr>
          <w:color w:val="333333"/>
          <w:shd w:val="clear" w:color="auto" w:fill="FFFFFF"/>
        </w:rPr>
      </w:pPr>
      <w:r w:rsidRPr="005E4958">
        <w:rPr>
          <w:b/>
          <w:color w:val="333333"/>
          <w:shd w:val="clear" w:color="auto" w:fill="FFFFFF"/>
        </w:rPr>
        <w:t xml:space="preserve">Вертикальная интеграция </w:t>
      </w:r>
      <w:r>
        <w:rPr>
          <w:color w:val="333333"/>
          <w:shd w:val="clear" w:color="auto" w:fill="FFFFFF"/>
        </w:rPr>
        <w:t>– это</w:t>
      </w:r>
      <w:r w:rsidRPr="005E4958">
        <w:rPr>
          <w:color w:val="333333"/>
          <w:shd w:val="clear" w:color="auto" w:fill="FFFFFF"/>
        </w:rPr>
        <w:t xml:space="preserve"> интеграционные сделки, которые осуществляются компаниями, занятыми на различных стадиях одного производственно - технологического процесса. Вертикальные объединения способствуют росту эффективности производства, уменьшению трансакционных издержек, повышению технологической экономичности, доступ к источникам сырья, рынкам сбыта и т.д.</w:t>
      </w:r>
    </w:p>
    <w:p w:rsidR="005E4958" w:rsidRPr="005E4958" w:rsidRDefault="005E4958" w:rsidP="005E4958">
      <w:pPr>
        <w:pStyle w:val="a3"/>
        <w:shd w:val="clear" w:color="auto" w:fill="FFFFFF"/>
        <w:spacing w:before="0" w:after="0" w:line="360" w:lineRule="auto"/>
        <w:jc w:val="both"/>
        <w:rPr>
          <w:color w:val="333333"/>
          <w:shd w:val="clear" w:color="auto" w:fill="FFFFFF"/>
        </w:rPr>
      </w:pPr>
      <w:r w:rsidRPr="005E4958">
        <w:rPr>
          <w:b/>
          <w:color w:val="333333"/>
          <w:shd w:val="clear" w:color="auto" w:fill="FFFFFF"/>
        </w:rPr>
        <w:t xml:space="preserve">Горизонтальная интеграция </w:t>
      </w:r>
      <w:r w:rsidRPr="005E4958">
        <w:rPr>
          <w:color w:val="333333"/>
          <w:shd w:val="clear" w:color="auto" w:fill="FFFFFF"/>
        </w:rPr>
        <w:t>— это объединение предприятий, работающих и конкурирующих в одной области деятельности. Главной целью горизонтальной интеграции является усиление позиций фирмы в отрасли путем поглощения определенных конкурентов или установления контроля над ними.</w:t>
      </w:r>
    </w:p>
    <w:p w:rsidR="005E4958" w:rsidRPr="005E4958" w:rsidRDefault="005E4958" w:rsidP="005E4958">
      <w:pPr>
        <w:pStyle w:val="a3"/>
        <w:shd w:val="clear" w:color="auto" w:fill="FFFFFF"/>
        <w:spacing w:before="0" w:after="0" w:line="360" w:lineRule="auto"/>
        <w:jc w:val="both"/>
        <w:rPr>
          <w:color w:val="343A40"/>
          <w:shd w:val="clear" w:color="auto" w:fill="F8F9FA"/>
        </w:rPr>
      </w:pPr>
      <w:r w:rsidRPr="00244D1C">
        <w:rPr>
          <w:b/>
          <w:color w:val="343A40"/>
          <w:shd w:val="clear" w:color="auto" w:fill="F8F9FA"/>
        </w:rPr>
        <w:t>Конгломератные сделки</w:t>
      </w:r>
      <w:r w:rsidRPr="005E4958">
        <w:rPr>
          <w:color w:val="343A40"/>
          <w:shd w:val="clear" w:color="auto" w:fill="F8F9FA"/>
        </w:rPr>
        <w:t xml:space="preserve"> объединяются две компании, не имеющие общих сфер бизнеса. </w:t>
      </w:r>
    </w:p>
    <w:p w:rsidR="00F342DF" w:rsidRDefault="00F342DF" w:rsidP="002740FD">
      <w:pPr>
        <w:pStyle w:val="a3"/>
        <w:shd w:val="clear" w:color="auto" w:fill="FFFFFF"/>
        <w:spacing w:before="0" w:after="0" w:line="360" w:lineRule="auto"/>
        <w:rPr>
          <w:b/>
          <w:color w:val="343A40"/>
          <w:sz w:val="28"/>
          <w:szCs w:val="28"/>
          <w:shd w:val="clear" w:color="auto" w:fill="F8F9FA"/>
        </w:rPr>
      </w:pPr>
      <w:r>
        <w:rPr>
          <w:b/>
          <w:sz w:val="28"/>
          <w:szCs w:val="28"/>
        </w:rPr>
        <w:t>9</w:t>
      </w:r>
      <w:r w:rsidRPr="00F342DF">
        <w:rPr>
          <w:b/>
          <w:sz w:val="28"/>
          <w:szCs w:val="28"/>
        </w:rPr>
        <w:t xml:space="preserve">. </w:t>
      </w:r>
      <w:r w:rsidRPr="00F342DF">
        <w:rPr>
          <w:b/>
          <w:color w:val="343A40"/>
          <w:sz w:val="28"/>
          <w:szCs w:val="28"/>
          <w:shd w:val="clear" w:color="auto" w:fill="F8F9FA"/>
        </w:rPr>
        <w:t>Государственная отраслевая политика.</w:t>
      </w:r>
    </w:p>
    <w:p w:rsidR="00F342DF" w:rsidRPr="00841821" w:rsidRDefault="00F342DF" w:rsidP="002740FD">
      <w:pPr>
        <w:pStyle w:val="a3"/>
        <w:shd w:val="clear" w:color="auto" w:fill="FFFFFF"/>
        <w:spacing w:before="0" w:after="0" w:line="360" w:lineRule="auto"/>
        <w:rPr>
          <w:color w:val="343A40"/>
          <w:shd w:val="clear" w:color="auto" w:fill="F8F9FA"/>
        </w:rPr>
      </w:pPr>
      <w:r w:rsidRPr="00841821">
        <w:rPr>
          <w:color w:val="343A40"/>
          <w:shd w:val="clear" w:color="auto" w:fill="F8F9FA"/>
        </w:rPr>
        <w:t xml:space="preserve">Отраслевая политика – политика государства, направленная на рост промышленного производства, обеспечения его эффективности, содействие технологическому процессу. </w:t>
      </w:r>
    </w:p>
    <w:p w:rsidR="00F342DF" w:rsidRPr="00841821" w:rsidRDefault="00F342DF" w:rsidP="002740FD">
      <w:pPr>
        <w:pStyle w:val="a3"/>
        <w:shd w:val="clear" w:color="auto" w:fill="FFFFFF"/>
        <w:spacing w:before="0" w:after="0" w:line="360" w:lineRule="auto"/>
        <w:rPr>
          <w:color w:val="343A40"/>
          <w:shd w:val="clear" w:color="auto" w:fill="F8F9FA"/>
        </w:rPr>
      </w:pPr>
      <w:r w:rsidRPr="00841821">
        <w:rPr>
          <w:color w:val="343A40"/>
          <w:shd w:val="clear" w:color="auto" w:fill="F8F9FA"/>
        </w:rPr>
        <w:lastRenderedPageBreak/>
        <w:t>Студент описывает меры и программы государственной и региональной поддержки в отрасли и делает выводы о типах отраслевой политики, используя приведенную ниже схему</w:t>
      </w:r>
      <w:r w:rsidR="005E4958" w:rsidRPr="00841821">
        <w:rPr>
          <w:color w:val="343A40"/>
          <w:shd w:val="clear" w:color="auto" w:fill="F8F9FA"/>
        </w:rPr>
        <w:t xml:space="preserve"> и обосновывает его. </w:t>
      </w:r>
    </w:p>
    <w:p w:rsidR="00F342DF" w:rsidRPr="00F342DF" w:rsidRDefault="00F342DF" w:rsidP="002740FD">
      <w:pPr>
        <w:pStyle w:val="a3"/>
        <w:shd w:val="clear" w:color="auto" w:fill="FFFFFF"/>
        <w:spacing w:before="0" w:after="0" w:line="360" w:lineRule="aut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1BA0D4A" wp14:editId="399CB4BD">
            <wp:extent cx="5940425" cy="4449518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5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15DC" w:rsidRDefault="00244D1C" w:rsidP="002740FD">
      <w:pPr>
        <w:pStyle w:val="a3"/>
        <w:shd w:val="clear" w:color="auto" w:fill="FFFFFF"/>
        <w:spacing w:before="0" w:after="0" w:line="360" w:lineRule="auto"/>
        <w:rPr>
          <w:b/>
          <w:color w:val="343A40"/>
          <w:sz w:val="28"/>
          <w:szCs w:val="28"/>
          <w:shd w:val="clear" w:color="auto" w:fill="F8F9FA"/>
        </w:rPr>
      </w:pPr>
      <w:r w:rsidRPr="00244D1C">
        <w:rPr>
          <w:b/>
          <w:color w:val="343A40"/>
          <w:sz w:val="28"/>
          <w:szCs w:val="28"/>
          <w:shd w:val="clear" w:color="auto" w:fill="F8F9FA"/>
        </w:rPr>
        <w:t>10. Судебная практика в отношении нарушения антимонопольного законодательства в отрасли.</w:t>
      </w:r>
    </w:p>
    <w:p w:rsidR="00244D1C" w:rsidRPr="00244D1C" w:rsidRDefault="00244D1C" w:rsidP="002740FD">
      <w:pPr>
        <w:pStyle w:val="a3"/>
        <w:shd w:val="clear" w:color="auto" w:fill="FFFFFF"/>
        <w:spacing w:before="0"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Пункт по желанию.</w:t>
      </w:r>
    </w:p>
    <w:p w:rsidR="00DD15DC" w:rsidRPr="002740FD" w:rsidRDefault="00DD15DC" w:rsidP="002740FD">
      <w:pPr>
        <w:pStyle w:val="a3"/>
        <w:shd w:val="clear" w:color="auto" w:fill="FFFFFF"/>
        <w:spacing w:before="0" w:after="0" w:line="360" w:lineRule="auto"/>
        <w:rPr>
          <w:color w:val="1D2126"/>
          <w:spacing w:val="7"/>
        </w:rPr>
      </w:pPr>
    </w:p>
    <w:p w:rsidR="00F1525B" w:rsidRPr="002740FD" w:rsidRDefault="00F1525B" w:rsidP="002740FD">
      <w:pPr>
        <w:pStyle w:val="a3"/>
        <w:shd w:val="clear" w:color="auto" w:fill="FFFFFF"/>
        <w:spacing w:before="0" w:after="0" w:line="360" w:lineRule="auto"/>
        <w:rPr>
          <w:color w:val="1D2126"/>
          <w:spacing w:val="7"/>
        </w:rPr>
      </w:pPr>
    </w:p>
    <w:p w:rsidR="00755CE6" w:rsidRPr="002740FD" w:rsidRDefault="00755CE6" w:rsidP="002740FD">
      <w:pPr>
        <w:pStyle w:val="a3"/>
        <w:shd w:val="clear" w:color="auto" w:fill="FFFFFF"/>
        <w:spacing w:before="210" w:beforeAutospacing="0" w:after="0" w:afterAutospacing="0" w:line="360" w:lineRule="auto"/>
        <w:ind w:firstLine="540"/>
        <w:rPr>
          <w:color w:val="000000"/>
        </w:rPr>
      </w:pPr>
    </w:p>
    <w:p w:rsidR="00C30EDE" w:rsidRPr="002740FD" w:rsidRDefault="00C30EDE" w:rsidP="002740FD">
      <w:pPr>
        <w:pStyle w:val="a3"/>
        <w:shd w:val="clear" w:color="auto" w:fill="FFFFFF"/>
        <w:spacing w:before="210" w:beforeAutospacing="0" w:after="0" w:afterAutospacing="0" w:line="360" w:lineRule="auto"/>
        <w:ind w:firstLine="540"/>
        <w:rPr>
          <w:color w:val="000000"/>
        </w:rPr>
      </w:pPr>
    </w:p>
    <w:p w:rsidR="00C30EDE" w:rsidRPr="002740FD" w:rsidRDefault="00C30EDE" w:rsidP="002740F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C30EDE" w:rsidRPr="00274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741F0"/>
    <w:multiLevelType w:val="hybridMultilevel"/>
    <w:tmpl w:val="B33C7F60"/>
    <w:lvl w:ilvl="0" w:tplc="CA081F0C">
      <w:start w:val="1"/>
      <w:numFmt w:val="bullet"/>
      <w:lvlText w:val="•"/>
      <w:lvlJc w:val="left"/>
      <w:pPr>
        <w:ind w:left="142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8A92F24"/>
    <w:multiLevelType w:val="hybridMultilevel"/>
    <w:tmpl w:val="700C1CE4"/>
    <w:lvl w:ilvl="0" w:tplc="CA081F0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478B2"/>
    <w:multiLevelType w:val="hybridMultilevel"/>
    <w:tmpl w:val="286898D0"/>
    <w:lvl w:ilvl="0" w:tplc="CA081F0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A1871"/>
    <w:multiLevelType w:val="hybridMultilevel"/>
    <w:tmpl w:val="36E6628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5509C"/>
    <w:multiLevelType w:val="hybridMultilevel"/>
    <w:tmpl w:val="511608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CD"/>
    <w:rsid w:val="00003F0F"/>
    <w:rsid w:val="00244D1C"/>
    <w:rsid w:val="002740FD"/>
    <w:rsid w:val="00296CE6"/>
    <w:rsid w:val="004A4499"/>
    <w:rsid w:val="005E4958"/>
    <w:rsid w:val="00627AAE"/>
    <w:rsid w:val="00755CE6"/>
    <w:rsid w:val="00785E55"/>
    <w:rsid w:val="00841821"/>
    <w:rsid w:val="00964F72"/>
    <w:rsid w:val="009A01CD"/>
    <w:rsid w:val="00A35D4A"/>
    <w:rsid w:val="00AD206C"/>
    <w:rsid w:val="00C3053E"/>
    <w:rsid w:val="00C30EDE"/>
    <w:rsid w:val="00DD15DC"/>
    <w:rsid w:val="00E83510"/>
    <w:rsid w:val="00EB3EB7"/>
    <w:rsid w:val="00F04A5B"/>
    <w:rsid w:val="00F1525B"/>
    <w:rsid w:val="00F342DF"/>
    <w:rsid w:val="00F507DC"/>
    <w:rsid w:val="00F51545"/>
    <w:rsid w:val="00F541CF"/>
    <w:rsid w:val="00F6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3A8059-32E7-4CEF-A8BC-D25DDA1B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0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5CE6"/>
    <w:rPr>
      <w:color w:val="0000FF"/>
      <w:u w:val="single"/>
    </w:rPr>
  </w:style>
  <w:style w:type="character" w:customStyle="1" w:styleId="mord">
    <w:name w:val="mord"/>
    <w:basedOn w:val="a0"/>
    <w:rsid w:val="00755CE6"/>
  </w:style>
  <w:style w:type="character" w:customStyle="1" w:styleId="vlist-s">
    <w:name w:val="vlist-s"/>
    <w:basedOn w:val="a0"/>
    <w:rsid w:val="00755CE6"/>
  </w:style>
  <w:style w:type="character" w:customStyle="1" w:styleId="mrel">
    <w:name w:val="mrel"/>
    <w:basedOn w:val="a0"/>
    <w:rsid w:val="00755CE6"/>
  </w:style>
  <w:style w:type="character" w:customStyle="1" w:styleId="mbin">
    <w:name w:val="mbin"/>
    <w:basedOn w:val="a0"/>
    <w:rsid w:val="00755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4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1673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Пользователь</cp:lastModifiedBy>
  <cp:revision>2</cp:revision>
  <cp:lastPrinted>2023-11-13T15:38:00Z</cp:lastPrinted>
  <dcterms:created xsi:type="dcterms:W3CDTF">2024-11-08T15:40:00Z</dcterms:created>
  <dcterms:modified xsi:type="dcterms:W3CDTF">2024-11-08T15:40:00Z</dcterms:modified>
</cp:coreProperties>
</file>